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4AC" w:rsidRDefault="00974B1A">
      <w:pPr>
        <w:jc w:val="center"/>
        <w:rPr>
          <w:sz w:val="36"/>
        </w:rPr>
      </w:pPr>
      <w:r>
        <w:rPr>
          <w:noProof/>
          <w:sz w:val="36"/>
          <w:lang w:val="es-CR" w:eastAsia="es-CR"/>
        </w:rPr>
        <w:drawing>
          <wp:inline distT="0" distB="0" distL="0" distR="0">
            <wp:extent cx="8096250" cy="4048125"/>
            <wp:effectExtent l="0" t="0" r="0" b="9525"/>
            <wp:docPr id="3"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0" cy="4048125"/>
                    </a:xfrm>
                    <a:prstGeom prst="rect">
                      <a:avLst/>
                    </a:prstGeom>
                    <a:noFill/>
                    <a:ln>
                      <a:noFill/>
                    </a:ln>
                  </pic:spPr>
                </pic:pic>
              </a:graphicData>
            </a:graphic>
          </wp:inline>
        </w:drawing>
      </w:r>
    </w:p>
    <w:p w:rsidR="00CD4542" w:rsidRDefault="00CD4542">
      <w:pPr>
        <w:jc w:val="center"/>
        <w:rPr>
          <w:sz w:val="36"/>
        </w:rPr>
      </w:pPr>
    </w:p>
    <w:p w:rsidR="00CD4542" w:rsidRDefault="00CD4542" w:rsidP="00CD4542">
      <w:pPr>
        <w:jc w:val="right"/>
      </w:pPr>
    </w:p>
    <w:p w:rsidR="00CD4542" w:rsidRDefault="00CD4542" w:rsidP="00CD4542">
      <w:pPr>
        <w:pStyle w:val="Encabezado"/>
      </w:pPr>
    </w:p>
    <w:p w:rsidR="00CD4542" w:rsidRDefault="00CD4542" w:rsidP="00CD4542"/>
    <w:p w:rsidR="00CD4542" w:rsidRDefault="00CD4542" w:rsidP="00CD4542">
      <w:pPr>
        <w:ind w:left="1701"/>
        <w:rPr>
          <w:sz w:val="50"/>
          <w:lang w:val="es-ES_tradnl"/>
        </w:rPr>
      </w:pPr>
      <w:r>
        <w:rPr>
          <w:sz w:val="56"/>
          <w:lang w:val="es-ES_tradnl"/>
        </w:rPr>
        <w:t>Diseño de la Muestra E</w:t>
      </w:r>
      <w:r w:rsidR="004E2CB3">
        <w:rPr>
          <w:sz w:val="56"/>
          <w:lang w:val="es-ES_tradnl"/>
        </w:rPr>
        <w:t>CE</w:t>
      </w:r>
    </w:p>
    <w:p w:rsidR="00CD4542" w:rsidRDefault="00CD4542" w:rsidP="00CD4542">
      <w:pPr>
        <w:ind w:left="1701"/>
        <w:rPr>
          <w:sz w:val="42"/>
          <w:lang w:val="es-ES_tradnl"/>
        </w:rPr>
      </w:pPr>
    </w:p>
    <w:p w:rsidR="00CD4542" w:rsidRPr="00C9704F" w:rsidRDefault="00CD4542" w:rsidP="00CD4542">
      <w:pPr>
        <w:ind w:left="1701"/>
        <w:rPr>
          <w:noProof/>
          <w:sz w:val="44"/>
          <w:szCs w:val="44"/>
        </w:rPr>
      </w:pPr>
      <w:r w:rsidRPr="00C9704F">
        <w:rPr>
          <w:noProof/>
          <w:sz w:val="44"/>
          <w:szCs w:val="44"/>
        </w:rPr>
        <w:t>PROCESO DE MUESTREO</w:t>
      </w:r>
    </w:p>
    <w:p w:rsidR="00CD4542" w:rsidRDefault="00CD4542" w:rsidP="00CD4542">
      <w:pPr>
        <w:pStyle w:val="Encabezado"/>
        <w:ind w:left="1701"/>
        <w:rPr>
          <w:lang w:val="es-ES_tradnl"/>
        </w:rPr>
      </w:pPr>
    </w:p>
    <w:p w:rsidR="00CD4542" w:rsidRDefault="00CD4542" w:rsidP="00CD4542">
      <w:pPr>
        <w:pStyle w:val="Encabezado"/>
        <w:ind w:left="1701"/>
        <w:rPr>
          <w:lang w:val="es-ES_tradnl"/>
        </w:rPr>
      </w:pPr>
    </w:p>
    <w:p w:rsidR="00CD4542" w:rsidRDefault="00CD4542" w:rsidP="00EB27C6">
      <w:pPr>
        <w:rPr>
          <w:lang w:val="es-ES_tradnl"/>
        </w:rPr>
      </w:pPr>
    </w:p>
    <w:p w:rsidR="00EB27C6" w:rsidRDefault="00EB27C6" w:rsidP="00EB27C6">
      <w:pPr>
        <w:rPr>
          <w:lang w:val="es-ES_tradnl"/>
        </w:rPr>
      </w:pPr>
    </w:p>
    <w:p w:rsidR="00EB27C6" w:rsidRDefault="00EB27C6" w:rsidP="00EB27C6">
      <w:pPr>
        <w:rPr>
          <w:lang w:val="es-ES_tradnl"/>
        </w:rPr>
      </w:pPr>
    </w:p>
    <w:p w:rsidR="00EB27C6" w:rsidRDefault="00EB27C6" w:rsidP="00EB27C6">
      <w:pPr>
        <w:rPr>
          <w:lang w:val="es-ES_tradnl"/>
        </w:rPr>
      </w:pPr>
    </w:p>
    <w:p w:rsidR="00CD4542" w:rsidRDefault="00974B1A" w:rsidP="00CD4542">
      <w:pPr>
        <w:ind w:left="1701"/>
        <w:rPr>
          <w:sz w:val="34"/>
          <w:lang w:val="es-ES_tradnl"/>
        </w:rPr>
      </w:pPr>
      <w:r>
        <w:rPr>
          <w:noProof/>
          <w:sz w:val="20"/>
          <w:lang w:val="es-CR" w:eastAsia="es-CR"/>
        </w:rPr>
        <w:drawing>
          <wp:anchor distT="0" distB="0" distL="114300" distR="114300" simplePos="0" relativeHeight="251659264" behindDoc="0" locked="0" layoutInCell="1" allowOverlap="1">
            <wp:simplePos x="0" y="0"/>
            <wp:positionH relativeFrom="column">
              <wp:posOffset>5520690</wp:posOffset>
            </wp:positionH>
            <wp:positionV relativeFrom="paragraph">
              <wp:posOffset>73025</wp:posOffset>
            </wp:positionV>
            <wp:extent cx="988060" cy="1143000"/>
            <wp:effectExtent l="0" t="0" r="2540" b="0"/>
            <wp:wrapSquare wrapText="bothSides"/>
            <wp:docPr id="6" name="Imagen 22" descr="Logo IN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Logo INE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8060" cy="1143000"/>
                    </a:xfrm>
                    <a:prstGeom prst="rect">
                      <a:avLst/>
                    </a:prstGeom>
                    <a:noFill/>
                  </pic:spPr>
                </pic:pic>
              </a:graphicData>
            </a:graphic>
            <wp14:sizeRelH relativeFrom="page">
              <wp14:pctWidth>0</wp14:pctWidth>
            </wp14:sizeRelH>
            <wp14:sizeRelV relativeFrom="page">
              <wp14:pctHeight>0</wp14:pctHeight>
            </wp14:sizeRelV>
          </wp:anchor>
        </w:drawing>
      </w:r>
      <w:r w:rsidR="00CD4542">
        <w:rPr>
          <w:sz w:val="34"/>
          <w:lang w:val="es-ES_tradnl"/>
        </w:rPr>
        <w:t>San José, Costa Rica</w:t>
      </w:r>
    </w:p>
    <w:p w:rsidR="00CD4542" w:rsidRDefault="00CD4542" w:rsidP="00CD4542">
      <w:pPr>
        <w:ind w:left="1701"/>
        <w:rPr>
          <w:lang w:val="es-ES_tradnl"/>
        </w:rPr>
      </w:pPr>
      <w:r>
        <w:rPr>
          <w:sz w:val="34"/>
          <w:lang w:val="es-ES_tradnl"/>
        </w:rPr>
        <w:t>2009</w:t>
      </w: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lang w:val="es-ES_tradnl"/>
        </w:rPr>
      </w:pPr>
    </w:p>
    <w:p w:rsidR="00CD4542" w:rsidRDefault="00CD4542" w:rsidP="00CD4542">
      <w:pPr>
        <w:rPr>
          <w:b/>
          <w:lang w:val="es-ES_tradnl"/>
        </w:rPr>
      </w:pPr>
      <w:r>
        <w:rPr>
          <w:b/>
          <w:lang w:val="es-ES_tradnl"/>
        </w:rPr>
        <w:br w:type="page"/>
      </w:r>
    </w:p>
    <w:p w:rsidR="00CD4542" w:rsidRDefault="00CD4542" w:rsidP="00CD4542">
      <w:pPr>
        <w:tabs>
          <w:tab w:val="center" w:pos="4680"/>
        </w:tabs>
        <w:jc w:val="center"/>
        <w:rPr>
          <w:b/>
          <w:lang w:val="es-ES_tradnl"/>
        </w:rPr>
      </w:pPr>
      <w:r>
        <w:rPr>
          <w:b/>
          <w:lang w:val="es-ES_tradnl"/>
        </w:rPr>
        <w:lastRenderedPageBreak/>
        <w:t>INDICE</w:t>
      </w:r>
    </w:p>
    <w:p w:rsidR="00E85B49" w:rsidRDefault="005F1100">
      <w:pPr>
        <w:pStyle w:val="TDC1"/>
        <w:rPr>
          <w:rFonts w:asciiTheme="minorHAnsi" w:eastAsiaTheme="minorEastAsia" w:hAnsiTheme="minorHAnsi" w:cstheme="minorBidi"/>
          <w:b w:val="0"/>
          <w:bCs w:val="0"/>
          <w:snapToGrid/>
          <w:sz w:val="22"/>
          <w:szCs w:val="22"/>
          <w:lang w:val="es-ES"/>
        </w:rPr>
      </w:pPr>
      <w:r>
        <w:fldChar w:fldCharType="begin"/>
      </w:r>
      <w:r w:rsidR="00CD4542">
        <w:instrText xml:space="preserve"> TOC \o "1-5" \h \z </w:instrText>
      </w:r>
      <w:r>
        <w:fldChar w:fldCharType="separate"/>
      </w:r>
    </w:p>
    <w:p w:rsidR="00E85B49" w:rsidRDefault="00BA4B07">
      <w:pPr>
        <w:pStyle w:val="TDC1"/>
        <w:rPr>
          <w:rFonts w:asciiTheme="minorHAnsi" w:eastAsiaTheme="minorEastAsia" w:hAnsiTheme="minorHAnsi" w:cstheme="minorBidi"/>
          <w:b w:val="0"/>
          <w:bCs w:val="0"/>
          <w:snapToGrid/>
          <w:sz w:val="22"/>
          <w:szCs w:val="22"/>
          <w:lang w:val="es-ES"/>
        </w:rPr>
      </w:pPr>
      <w:hyperlink w:anchor="_Toc237765361" w:history="1">
        <w:r w:rsidR="00E85B49" w:rsidRPr="007B711B">
          <w:rPr>
            <w:rStyle w:val="Hipervnculo"/>
          </w:rPr>
          <w:t>JUSTIFICACIÓN</w:t>
        </w:r>
        <w:r w:rsidR="00E85B49">
          <w:rPr>
            <w:webHidden/>
          </w:rPr>
          <w:tab/>
        </w:r>
        <w:r w:rsidR="005F1100">
          <w:rPr>
            <w:webHidden/>
          </w:rPr>
          <w:fldChar w:fldCharType="begin"/>
        </w:r>
        <w:r w:rsidR="00E85B49">
          <w:rPr>
            <w:webHidden/>
          </w:rPr>
          <w:instrText xml:space="preserve"> PAGEREF _Toc237765361 \h </w:instrText>
        </w:r>
        <w:r w:rsidR="005F1100">
          <w:rPr>
            <w:webHidden/>
          </w:rPr>
        </w:r>
        <w:r w:rsidR="005F1100">
          <w:rPr>
            <w:webHidden/>
          </w:rPr>
          <w:fldChar w:fldCharType="separate"/>
        </w:r>
        <w:r w:rsidR="004E493A">
          <w:rPr>
            <w:webHidden/>
          </w:rPr>
          <w:t>4</w:t>
        </w:r>
        <w:r w:rsidR="005F1100">
          <w:rPr>
            <w:webHidden/>
          </w:rPr>
          <w:fldChar w:fldCharType="end"/>
        </w:r>
      </w:hyperlink>
    </w:p>
    <w:p w:rsidR="00E85B49" w:rsidRDefault="00BA4B07">
      <w:pPr>
        <w:pStyle w:val="TDC1"/>
        <w:rPr>
          <w:rFonts w:asciiTheme="minorHAnsi" w:eastAsiaTheme="minorEastAsia" w:hAnsiTheme="minorHAnsi" w:cstheme="minorBidi"/>
          <w:b w:val="0"/>
          <w:bCs w:val="0"/>
          <w:snapToGrid/>
          <w:sz w:val="22"/>
          <w:szCs w:val="22"/>
          <w:lang w:val="es-ES"/>
        </w:rPr>
      </w:pPr>
      <w:hyperlink w:anchor="_Toc237765362" w:history="1">
        <w:r w:rsidR="00E85B49" w:rsidRPr="007B711B">
          <w:rPr>
            <w:rStyle w:val="Hipervnculo"/>
          </w:rPr>
          <w:t>1. POBLACIÓN DE  ESTUDIO</w:t>
        </w:r>
        <w:r w:rsidR="00E85B49">
          <w:rPr>
            <w:webHidden/>
          </w:rPr>
          <w:tab/>
        </w:r>
        <w:r w:rsidR="005F1100">
          <w:rPr>
            <w:webHidden/>
          </w:rPr>
          <w:fldChar w:fldCharType="begin"/>
        </w:r>
        <w:r w:rsidR="00E85B49">
          <w:rPr>
            <w:webHidden/>
          </w:rPr>
          <w:instrText xml:space="preserve"> PAGEREF _Toc237765362 \h </w:instrText>
        </w:r>
        <w:r w:rsidR="005F1100">
          <w:rPr>
            <w:webHidden/>
          </w:rPr>
        </w:r>
        <w:r w:rsidR="005F1100">
          <w:rPr>
            <w:webHidden/>
          </w:rPr>
          <w:fldChar w:fldCharType="separate"/>
        </w:r>
        <w:r w:rsidR="004E493A">
          <w:rPr>
            <w:webHidden/>
          </w:rPr>
          <w:t>5</w:t>
        </w:r>
        <w:r w:rsidR="005F1100">
          <w:rPr>
            <w:webHidden/>
          </w:rPr>
          <w:fldChar w:fldCharType="end"/>
        </w:r>
      </w:hyperlink>
    </w:p>
    <w:p w:rsidR="00E85B49" w:rsidRDefault="00BA4B07">
      <w:pPr>
        <w:pStyle w:val="TDC1"/>
        <w:rPr>
          <w:rFonts w:asciiTheme="minorHAnsi" w:eastAsiaTheme="minorEastAsia" w:hAnsiTheme="minorHAnsi" w:cstheme="minorBidi"/>
          <w:b w:val="0"/>
          <w:bCs w:val="0"/>
          <w:snapToGrid/>
          <w:sz w:val="22"/>
          <w:szCs w:val="22"/>
          <w:lang w:val="es-ES"/>
        </w:rPr>
      </w:pPr>
      <w:hyperlink w:anchor="_Toc237765363" w:history="1">
        <w:r w:rsidR="00E85B49" w:rsidRPr="007B711B">
          <w:rPr>
            <w:rStyle w:val="Hipervnculo"/>
          </w:rPr>
          <w:t>2. MARCO MUESTRAL</w:t>
        </w:r>
        <w:r w:rsidR="00E85B49">
          <w:rPr>
            <w:webHidden/>
          </w:rPr>
          <w:tab/>
        </w:r>
        <w:r w:rsidR="005F1100">
          <w:rPr>
            <w:webHidden/>
          </w:rPr>
          <w:fldChar w:fldCharType="begin"/>
        </w:r>
        <w:r w:rsidR="00E85B49">
          <w:rPr>
            <w:webHidden/>
          </w:rPr>
          <w:instrText xml:space="preserve"> PAGEREF _Toc237765363 \h </w:instrText>
        </w:r>
        <w:r w:rsidR="005F1100">
          <w:rPr>
            <w:webHidden/>
          </w:rPr>
        </w:r>
        <w:r w:rsidR="005F1100">
          <w:rPr>
            <w:webHidden/>
          </w:rPr>
          <w:fldChar w:fldCharType="separate"/>
        </w:r>
        <w:r w:rsidR="004E493A">
          <w:rPr>
            <w:webHidden/>
          </w:rPr>
          <w:t>6</w:t>
        </w:r>
        <w:r w:rsidR="005F1100">
          <w:rPr>
            <w:webHidden/>
          </w:rPr>
          <w:fldChar w:fldCharType="end"/>
        </w:r>
      </w:hyperlink>
    </w:p>
    <w:p w:rsidR="00E85B49" w:rsidRDefault="00BA4B07">
      <w:pPr>
        <w:pStyle w:val="TDC1"/>
        <w:rPr>
          <w:rFonts w:asciiTheme="minorHAnsi" w:eastAsiaTheme="minorEastAsia" w:hAnsiTheme="minorHAnsi" w:cstheme="minorBidi"/>
          <w:b w:val="0"/>
          <w:bCs w:val="0"/>
          <w:snapToGrid/>
          <w:sz w:val="22"/>
          <w:szCs w:val="22"/>
          <w:lang w:val="es-ES"/>
        </w:rPr>
      </w:pPr>
      <w:hyperlink w:anchor="_Toc237765364" w:history="1">
        <w:r w:rsidR="00E85B49" w:rsidRPr="007B711B">
          <w:rPr>
            <w:rStyle w:val="Hipervnculo"/>
          </w:rPr>
          <w:t>3. DISEÑO DE LA MUESTRA</w:t>
        </w:r>
        <w:r w:rsidR="00E85B49">
          <w:rPr>
            <w:webHidden/>
          </w:rPr>
          <w:tab/>
        </w:r>
        <w:r w:rsidR="005F1100">
          <w:rPr>
            <w:webHidden/>
          </w:rPr>
          <w:fldChar w:fldCharType="begin"/>
        </w:r>
        <w:r w:rsidR="00E85B49">
          <w:rPr>
            <w:webHidden/>
          </w:rPr>
          <w:instrText xml:space="preserve"> PAGEREF _Toc237765364 \h </w:instrText>
        </w:r>
        <w:r w:rsidR="005F1100">
          <w:rPr>
            <w:webHidden/>
          </w:rPr>
        </w:r>
        <w:r w:rsidR="005F1100">
          <w:rPr>
            <w:webHidden/>
          </w:rPr>
          <w:fldChar w:fldCharType="separate"/>
        </w:r>
        <w:r w:rsidR="004E493A">
          <w:rPr>
            <w:webHidden/>
          </w:rPr>
          <w:t>7</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65" w:history="1">
        <w:r w:rsidR="00E85B49" w:rsidRPr="007B711B">
          <w:rPr>
            <w:rStyle w:val="Hipervnculo"/>
          </w:rPr>
          <w:t>3.1 Dominios de Estudio</w:t>
        </w:r>
        <w:r w:rsidR="00E85B49">
          <w:rPr>
            <w:webHidden/>
          </w:rPr>
          <w:tab/>
        </w:r>
        <w:r w:rsidR="005F1100">
          <w:rPr>
            <w:webHidden/>
          </w:rPr>
          <w:fldChar w:fldCharType="begin"/>
        </w:r>
        <w:r w:rsidR="00E85B49">
          <w:rPr>
            <w:webHidden/>
          </w:rPr>
          <w:instrText xml:space="preserve"> PAGEREF _Toc237765365 \h </w:instrText>
        </w:r>
        <w:r w:rsidR="005F1100">
          <w:rPr>
            <w:webHidden/>
          </w:rPr>
        </w:r>
        <w:r w:rsidR="005F1100">
          <w:rPr>
            <w:webHidden/>
          </w:rPr>
          <w:fldChar w:fldCharType="separate"/>
        </w:r>
        <w:r w:rsidR="004E493A">
          <w:rPr>
            <w:webHidden/>
          </w:rPr>
          <w:t>7</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66" w:history="1">
        <w:r w:rsidR="00E85B49" w:rsidRPr="007B711B">
          <w:rPr>
            <w:rStyle w:val="Hipervnculo"/>
          </w:rPr>
          <w:t>3.2  Estratificación</w:t>
        </w:r>
        <w:r w:rsidR="00E85B49">
          <w:rPr>
            <w:webHidden/>
          </w:rPr>
          <w:tab/>
        </w:r>
        <w:r w:rsidR="005F1100">
          <w:rPr>
            <w:webHidden/>
          </w:rPr>
          <w:fldChar w:fldCharType="begin"/>
        </w:r>
        <w:r w:rsidR="00E85B49">
          <w:rPr>
            <w:webHidden/>
          </w:rPr>
          <w:instrText xml:space="preserve"> PAGEREF _Toc237765366 \h </w:instrText>
        </w:r>
        <w:r w:rsidR="005F1100">
          <w:rPr>
            <w:webHidden/>
          </w:rPr>
        </w:r>
        <w:r w:rsidR="005F1100">
          <w:rPr>
            <w:webHidden/>
          </w:rPr>
          <w:fldChar w:fldCharType="separate"/>
        </w:r>
        <w:r w:rsidR="004E493A">
          <w:rPr>
            <w:webHidden/>
          </w:rPr>
          <w:t>8</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67" w:history="1">
        <w:r w:rsidR="00E85B49" w:rsidRPr="007B711B">
          <w:rPr>
            <w:rStyle w:val="Hipervnculo"/>
          </w:rPr>
          <w:t>3.3 Tamaño de Muestra</w:t>
        </w:r>
        <w:r w:rsidR="00E85B49">
          <w:rPr>
            <w:webHidden/>
          </w:rPr>
          <w:tab/>
        </w:r>
        <w:r w:rsidR="005F1100">
          <w:rPr>
            <w:webHidden/>
          </w:rPr>
          <w:fldChar w:fldCharType="begin"/>
        </w:r>
        <w:r w:rsidR="00E85B49">
          <w:rPr>
            <w:webHidden/>
          </w:rPr>
          <w:instrText xml:space="preserve"> PAGEREF _Toc237765367 \h </w:instrText>
        </w:r>
        <w:r w:rsidR="005F1100">
          <w:rPr>
            <w:webHidden/>
          </w:rPr>
        </w:r>
        <w:r w:rsidR="005F1100">
          <w:rPr>
            <w:webHidden/>
          </w:rPr>
          <w:fldChar w:fldCharType="separate"/>
        </w:r>
        <w:r w:rsidR="004E493A">
          <w:rPr>
            <w:webHidden/>
          </w:rPr>
          <w:t>8</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68" w:history="1">
        <w:r w:rsidR="00E85B49" w:rsidRPr="007B711B">
          <w:rPr>
            <w:rStyle w:val="Hipervnculo"/>
          </w:rPr>
          <w:t>3.4 Asignación Geográfica de la Muestra</w:t>
        </w:r>
        <w:r w:rsidR="00E85B49">
          <w:rPr>
            <w:webHidden/>
          </w:rPr>
          <w:tab/>
        </w:r>
        <w:r w:rsidR="005F1100">
          <w:rPr>
            <w:webHidden/>
          </w:rPr>
          <w:fldChar w:fldCharType="begin"/>
        </w:r>
        <w:r w:rsidR="00E85B49">
          <w:rPr>
            <w:webHidden/>
          </w:rPr>
          <w:instrText xml:space="preserve"> PAGEREF _Toc237765368 \h </w:instrText>
        </w:r>
        <w:r w:rsidR="005F1100">
          <w:rPr>
            <w:webHidden/>
          </w:rPr>
        </w:r>
        <w:r w:rsidR="005F1100">
          <w:rPr>
            <w:webHidden/>
          </w:rPr>
          <w:fldChar w:fldCharType="separate"/>
        </w:r>
        <w:r w:rsidR="004E493A">
          <w:rPr>
            <w:webHidden/>
          </w:rPr>
          <w:t>9</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69" w:history="1">
        <w:r w:rsidR="00E85B49" w:rsidRPr="007B711B">
          <w:rPr>
            <w:rStyle w:val="Hipervnculo"/>
          </w:rPr>
          <w:t>3.5 Esquema de Rotación</w:t>
        </w:r>
        <w:r w:rsidR="00E85B49">
          <w:rPr>
            <w:webHidden/>
          </w:rPr>
          <w:tab/>
        </w:r>
        <w:r w:rsidR="005F1100">
          <w:rPr>
            <w:webHidden/>
          </w:rPr>
          <w:fldChar w:fldCharType="begin"/>
        </w:r>
        <w:r w:rsidR="00E85B49">
          <w:rPr>
            <w:webHidden/>
          </w:rPr>
          <w:instrText xml:space="preserve"> PAGEREF _Toc237765369 \h </w:instrText>
        </w:r>
        <w:r w:rsidR="005F1100">
          <w:rPr>
            <w:webHidden/>
          </w:rPr>
        </w:r>
        <w:r w:rsidR="005F1100">
          <w:rPr>
            <w:webHidden/>
          </w:rPr>
          <w:fldChar w:fldCharType="separate"/>
        </w:r>
        <w:r w:rsidR="004E493A">
          <w:rPr>
            <w:webHidden/>
          </w:rPr>
          <w:t>11</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70" w:history="1">
        <w:r w:rsidR="00E85B49" w:rsidRPr="007B711B">
          <w:rPr>
            <w:rStyle w:val="Hipervnculo"/>
            <w:lang w:val="es-ES_tradnl"/>
          </w:rPr>
          <w:t>3.6  Distribución Continua de la Muestra</w:t>
        </w:r>
        <w:r w:rsidR="00E85B49">
          <w:rPr>
            <w:webHidden/>
          </w:rPr>
          <w:tab/>
        </w:r>
        <w:r w:rsidR="005F1100">
          <w:rPr>
            <w:webHidden/>
          </w:rPr>
          <w:fldChar w:fldCharType="begin"/>
        </w:r>
        <w:r w:rsidR="00E85B49">
          <w:rPr>
            <w:webHidden/>
          </w:rPr>
          <w:instrText xml:space="preserve"> PAGEREF _Toc237765370 \h </w:instrText>
        </w:r>
        <w:r w:rsidR="005F1100">
          <w:rPr>
            <w:webHidden/>
          </w:rPr>
        </w:r>
        <w:r w:rsidR="005F1100">
          <w:rPr>
            <w:webHidden/>
          </w:rPr>
          <w:fldChar w:fldCharType="separate"/>
        </w:r>
        <w:r w:rsidR="004E493A">
          <w:rPr>
            <w:webHidden/>
          </w:rPr>
          <w:t>12</w:t>
        </w:r>
        <w:r w:rsidR="005F1100">
          <w:rPr>
            <w:webHidden/>
          </w:rPr>
          <w:fldChar w:fldCharType="end"/>
        </w:r>
      </w:hyperlink>
    </w:p>
    <w:p w:rsidR="00E85B49" w:rsidRDefault="00BA4B07">
      <w:pPr>
        <w:pStyle w:val="TDC2"/>
        <w:rPr>
          <w:rFonts w:asciiTheme="minorHAnsi" w:eastAsiaTheme="minorEastAsia" w:hAnsiTheme="minorHAnsi" w:cstheme="minorBidi"/>
          <w:b w:val="0"/>
          <w:bCs w:val="0"/>
          <w:snapToGrid/>
          <w:sz w:val="22"/>
          <w:szCs w:val="22"/>
          <w:lang w:val="es-ES"/>
        </w:rPr>
      </w:pPr>
      <w:hyperlink w:anchor="_Toc237765371" w:history="1">
        <w:r w:rsidR="00E85B49" w:rsidRPr="007B711B">
          <w:rPr>
            <w:rStyle w:val="Hipervnculo"/>
            <w:lang w:val="es-ES_tradnl"/>
          </w:rPr>
          <w:t>3.7. Selección de la Muestra</w:t>
        </w:r>
        <w:r w:rsidR="00E85B49">
          <w:rPr>
            <w:webHidden/>
          </w:rPr>
          <w:tab/>
        </w:r>
        <w:r w:rsidR="005F1100">
          <w:rPr>
            <w:webHidden/>
          </w:rPr>
          <w:fldChar w:fldCharType="begin"/>
        </w:r>
        <w:r w:rsidR="00E85B49">
          <w:rPr>
            <w:webHidden/>
          </w:rPr>
          <w:instrText xml:space="preserve"> PAGEREF _Toc237765371 \h </w:instrText>
        </w:r>
        <w:r w:rsidR="005F1100">
          <w:rPr>
            <w:webHidden/>
          </w:rPr>
        </w:r>
        <w:r w:rsidR="005F1100">
          <w:rPr>
            <w:webHidden/>
          </w:rPr>
          <w:fldChar w:fldCharType="separate"/>
        </w:r>
        <w:r w:rsidR="004E493A">
          <w:rPr>
            <w:webHidden/>
          </w:rPr>
          <w:t>15</w:t>
        </w:r>
        <w:r w:rsidR="005F1100">
          <w:rPr>
            <w:webHidden/>
          </w:rPr>
          <w:fldChar w:fldCharType="end"/>
        </w:r>
      </w:hyperlink>
    </w:p>
    <w:p w:rsidR="00E85B49" w:rsidRDefault="00BA4B07">
      <w:pPr>
        <w:pStyle w:val="TDC1"/>
        <w:rPr>
          <w:rFonts w:asciiTheme="minorHAnsi" w:eastAsiaTheme="minorEastAsia" w:hAnsiTheme="minorHAnsi" w:cstheme="minorBidi"/>
          <w:b w:val="0"/>
          <w:bCs w:val="0"/>
          <w:snapToGrid/>
          <w:sz w:val="22"/>
          <w:szCs w:val="22"/>
          <w:lang w:val="es-ES"/>
        </w:rPr>
      </w:pPr>
      <w:hyperlink w:anchor="_Toc237765372" w:history="1">
        <w:r w:rsidR="00E85B49" w:rsidRPr="007B711B">
          <w:rPr>
            <w:rStyle w:val="Hipervnculo"/>
          </w:rPr>
          <w:t>4. FACTORES DE EXPANSIÓN</w:t>
        </w:r>
        <w:r w:rsidR="00E85B49">
          <w:rPr>
            <w:webHidden/>
          </w:rPr>
          <w:tab/>
        </w:r>
        <w:r w:rsidR="005F1100">
          <w:rPr>
            <w:webHidden/>
          </w:rPr>
          <w:fldChar w:fldCharType="begin"/>
        </w:r>
        <w:r w:rsidR="00E85B49">
          <w:rPr>
            <w:webHidden/>
          </w:rPr>
          <w:instrText xml:space="preserve"> PAGEREF _Toc237765372 \h </w:instrText>
        </w:r>
        <w:r w:rsidR="005F1100">
          <w:rPr>
            <w:webHidden/>
          </w:rPr>
        </w:r>
        <w:r w:rsidR="005F1100">
          <w:rPr>
            <w:webHidden/>
          </w:rPr>
          <w:fldChar w:fldCharType="separate"/>
        </w:r>
        <w:r w:rsidR="004E493A">
          <w:rPr>
            <w:webHidden/>
          </w:rPr>
          <w:t>15</w:t>
        </w:r>
        <w:r w:rsidR="005F1100">
          <w:rPr>
            <w:webHidden/>
          </w:rPr>
          <w:fldChar w:fldCharType="end"/>
        </w:r>
      </w:hyperlink>
    </w:p>
    <w:p w:rsidR="00E85B49" w:rsidRDefault="00BA4B07">
      <w:pPr>
        <w:pStyle w:val="TDC1"/>
        <w:rPr>
          <w:rFonts w:asciiTheme="minorHAnsi" w:eastAsiaTheme="minorEastAsia" w:hAnsiTheme="minorHAnsi" w:cstheme="minorBidi"/>
          <w:b w:val="0"/>
          <w:bCs w:val="0"/>
          <w:snapToGrid/>
          <w:sz w:val="22"/>
          <w:szCs w:val="22"/>
          <w:lang w:val="es-ES"/>
        </w:rPr>
      </w:pPr>
      <w:hyperlink w:anchor="_Toc237765373" w:history="1">
        <w:r w:rsidR="00E85B49" w:rsidRPr="007B711B">
          <w:rPr>
            <w:rStyle w:val="Hipervnculo"/>
          </w:rPr>
          <w:t>5. ERROR DE MUESTREO</w:t>
        </w:r>
        <w:r w:rsidR="00E85B49">
          <w:rPr>
            <w:webHidden/>
          </w:rPr>
          <w:tab/>
        </w:r>
        <w:r w:rsidR="005F1100">
          <w:rPr>
            <w:webHidden/>
          </w:rPr>
          <w:fldChar w:fldCharType="begin"/>
        </w:r>
        <w:r w:rsidR="00E85B49">
          <w:rPr>
            <w:webHidden/>
          </w:rPr>
          <w:instrText xml:space="preserve"> PAGEREF _Toc237765373 \h </w:instrText>
        </w:r>
        <w:r w:rsidR="005F1100">
          <w:rPr>
            <w:webHidden/>
          </w:rPr>
        </w:r>
        <w:r w:rsidR="005F1100">
          <w:rPr>
            <w:webHidden/>
          </w:rPr>
          <w:fldChar w:fldCharType="separate"/>
        </w:r>
        <w:r w:rsidR="004E493A">
          <w:rPr>
            <w:webHidden/>
          </w:rPr>
          <w:t>16</w:t>
        </w:r>
        <w:r w:rsidR="005F1100">
          <w:rPr>
            <w:webHidden/>
          </w:rPr>
          <w:fldChar w:fldCharType="end"/>
        </w:r>
      </w:hyperlink>
    </w:p>
    <w:p w:rsidR="00E85B49" w:rsidRDefault="00BA4B07">
      <w:pPr>
        <w:pStyle w:val="TDC1"/>
        <w:rPr>
          <w:rFonts w:asciiTheme="minorHAnsi" w:eastAsiaTheme="minorEastAsia" w:hAnsiTheme="minorHAnsi" w:cstheme="minorBidi"/>
          <w:b w:val="0"/>
          <w:bCs w:val="0"/>
          <w:snapToGrid/>
          <w:sz w:val="22"/>
          <w:szCs w:val="22"/>
          <w:lang w:val="es-ES"/>
        </w:rPr>
      </w:pPr>
      <w:hyperlink w:anchor="_Toc237765374" w:history="1">
        <w:r w:rsidR="00E85B49" w:rsidRPr="007B711B">
          <w:rPr>
            <w:rStyle w:val="Hipervnculo"/>
          </w:rPr>
          <w:t>6. ACTUALIZACIÓN DE LA MUESTRA</w:t>
        </w:r>
        <w:r w:rsidR="00E85B49">
          <w:rPr>
            <w:webHidden/>
          </w:rPr>
          <w:tab/>
        </w:r>
        <w:r w:rsidR="005F1100">
          <w:rPr>
            <w:webHidden/>
          </w:rPr>
          <w:fldChar w:fldCharType="begin"/>
        </w:r>
        <w:r w:rsidR="00E85B49">
          <w:rPr>
            <w:webHidden/>
          </w:rPr>
          <w:instrText xml:space="preserve"> PAGEREF _Toc237765374 \h </w:instrText>
        </w:r>
        <w:r w:rsidR="005F1100">
          <w:rPr>
            <w:webHidden/>
          </w:rPr>
        </w:r>
        <w:r w:rsidR="005F1100">
          <w:rPr>
            <w:webHidden/>
          </w:rPr>
          <w:fldChar w:fldCharType="separate"/>
        </w:r>
        <w:r w:rsidR="004E493A">
          <w:rPr>
            <w:webHidden/>
          </w:rPr>
          <w:t>16</w:t>
        </w:r>
        <w:r w:rsidR="005F1100">
          <w:rPr>
            <w:webHidden/>
          </w:rPr>
          <w:fldChar w:fldCharType="end"/>
        </w:r>
      </w:hyperlink>
    </w:p>
    <w:p w:rsidR="00D35DB6" w:rsidRDefault="005F1100" w:rsidP="00BA719B">
      <w:pPr>
        <w:pStyle w:val="Ttulo1"/>
        <w:ind w:left="0" w:firstLine="0"/>
        <w:jc w:val="center"/>
      </w:pPr>
      <w:r>
        <w:fldChar w:fldCharType="end"/>
      </w:r>
      <w:bookmarkStart w:id="0" w:name="_Toc237765360"/>
      <w:r w:rsidR="00D143D7">
        <w:t>-</w:t>
      </w:r>
      <w:r w:rsidR="00CD4542">
        <w:rPr>
          <w:sz w:val="36"/>
        </w:rPr>
        <w:br w:type="page"/>
      </w:r>
      <w:bookmarkStart w:id="1" w:name="_Toc237765361"/>
      <w:r w:rsidR="00D35DB6">
        <w:lastRenderedPageBreak/>
        <w:t>JUSTIFICACIÓN</w:t>
      </w:r>
      <w:bookmarkEnd w:id="0"/>
      <w:bookmarkEnd w:id="1"/>
    </w:p>
    <w:p w:rsidR="00E744AC" w:rsidRPr="00397298" w:rsidRDefault="00E744AC" w:rsidP="00D35DB6">
      <w:pPr>
        <w:jc w:val="center"/>
        <w:rPr>
          <w:b/>
          <w:bCs/>
          <w:lang w:val="es-CR"/>
        </w:rPr>
      </w:pPr>
    </w:p>
    <w:p w:rsidR="00C8030B" w:rsidRPr="00C8030B" w:rsidRDefault="00814375" w:rsidP="00C8030B">
      <w:pPr>
        <w:pStyle w:val="Textoindependiente"/>
      </w:pPr>
      <w:r w:rsidRPr="00397298">
        <w:t xml:space="preserve">El Instituto Nacional de Estadística y Censos (INEC) realiza anualmente la Encuesta de Hogares de Propósitos Múltiples (EHPM) </w:t>
      </w:r>
      <w:r w:rsidR="00D829FC">
        <w:t xml:space="preserve">que </w:t>
      </w:r>
      <w:r w:rsidR="00D829FC" w:rsidRPr="00397298">
        <w:t>investiga</w:t>
      </w:r>
      <w:r w:rsidRPr="00397298">
        <w:t xml:space="preserve"> las características de empleo, desempleo e ingresos de la población, </w:t>
      </w:r>
      <w:r w:rsidR="00905575" w:rsidRPr="00397298">
        <w:t>así como otras variables socioeconómicas y sociodemogr</w:t>
      </w:r>
      <w:r w:rsidR="00A40EAB" w:rsidRPr="00397298">
        <w:t>áficas rela</w:t>
      </w:r>
      <w:r w:rsidR="00397298">
        <w:t xml:space="preserve">cionadas con el mercado laboral. Actualmente </w:t>
      </w:r>
      <w:r w:rsidRPr="00397298">
        <w:t xml:space="preserve">está a las puertas de una reformulación de dicha encuesta que incorpora </w:t>
      </w:r>
      <w:r w:rsidR="00A40EAB" w:rsidRPr="00397298">
        <w:t xml:space="preserve">mejoras en el marco conceptual y metodológico con lo cual se espera contar con mayor precisión en los indicadores actuales </w:t>
      </w:r>
      <w:r w:rsidR="00397298">
        <w:t xml:space="preserve">de </w:t>
      </w:r>
      <w:r w:rsidR="00A40EAB" w:rsidRPr="00397298">
        <w:t xml:space="preserve">empleo, desempleo, ingresos y pobreza. Sin embargo, </w:t>
      </w:r>
      <w:r w:rsidR="00133700">
        <w:t xml:space="preserve">la </w:t>
      </w:r>
      <w:r w:rsidR="00A40EAB" w:rsidRPr="00397298">
        <w:t xml:space="preserve">periodicidad </w:t>
      </w:r>
      <w:r w:rsidR="00133700">
        <w:t xml:space="preserve">de esta encuesta </w:t>
      </w:r>
      <w:r w:rsidR="00A40EAB" w:rsidRPr="00397298">
        <w:t xml:space="preserve">no permite </w:t>
      </w:r>
      <w:r w:rsidR="00AD4951" w:rsidRPr="00397298">
        <w:t xml:space="preserve">tener información con la frecuencia y oportunidad que </w:t>
      </w:r>
      <w:r w:rsidR="00C8030B">
        <w:t xml:space="preserve">se </w:t>
      </w:r>
      <w:r w:rsidR="00AD4951" w:rsidRPr="00397298">
        <w:t>requiere</w:t>
      </w:r>
      <w:r w:rsidR="00C8030B">
        <w:t>, por esta razón,  en el año 2006</w:t>
      </w:r>
      <w:r w:rsidR="00AD4951" w:rsidRPr="00397298">
        <w:t xml:space="preserve"> el Banco Central de Costa Rica (BCCR) </w:t>
      </w:r>
      <w:r w:rsidR="00C8030B">
        <w:t xml:space="preserve">propuso al INEC la elaboración de </w:t>
      </w:r>
      <w:r w:rsidR="00C8030B" w:rsidRPr="00C8030B">
        <w:t xml:space="preserve">una serie de requerimientos estadísticos para suministrar en el corto y mediano plazo, entre ellos la elaboración de una encuesta de empleo con periodicidad  trimestral </w:t>
      </w:r>
      <w:r w:rsidR="00C8030B" w:rsidRPr="00397298">
        <w:t xml:space="preserve">que permitiera medir </w:t>
      </w:r>
      <w:r w:rsidR="00C8030B">
        <w:t>la tendencia y las variaciones cíclicas y estacionales del mercado de trabajo</w:t>
      </w:r>
      <w:r w:rsidR="00133700">
        <w:t>,</w:t>
      </w:r>
      <w:r w:rsidR="00C8030B">
        <w:t xml:space="preserve"> y generar </w:t>
      </w:r>
      <w:r w:rsidR="00C8030B" w:rsidRPr="00C8030B">
        <w:t xml:space="preserve"> información estadística actualizada de la fuerza de trabajo y los ingresos  percibidos por los  miembros del hogar con el fin de mantener un flujo continuo de indicadores del  mercado laboral. </w:t>
      </w:r>
      <w:r w:rsidR="00C8030B">
        <w:t xml:space="preserve"> </w:t>
      </w:r>
      <w:r w:rsidR="00C8030B" w:rsidRPr="00C8030B">
        <w:t xml:space="preserve">Desde ese momento a la fecha se ha venido trabajando en forma conjunta con los funcionarios del banco </w:t>
      </w:r>
      <w:r w:rsidR="00D829FC" w:rsidRPr="00C8030B">
        <w:t>en la</w:t>
      </w:r>
      <w:r w:rsidR="00C8030B" w:rsidRPr="00C8030B">
        <w:t xml:space="preserve"> formulación del </w:t>
      </w:r>
      <w:r w:rsidR="00C8030B">
        <w:t>p</w:t>
      </w:r>
      <w:r w:rsidR="00C8030B" w:rsidRPr="00C8030B">
        <w:t xml:space="preserve">royecto </w:t>
      </w:r>
      <w:r w:rsidR="00C8030B">
        <w:t>de la Encuesta Trimestral de Población Económicamente Activa (</w:t>
      </w:r>
      <w:r w:rsidR="004E2CB3">
        <w:t>ECE</w:t>
      </w:r>
      <w:r w:rsidR="00C8030B">
        <w:t>)</w:t>
      </w:r>
      <w:r w:rsidR="00C8030B" w:rsidRPr="00C8030B">
        <w:t>.</w:t>
      </w:r>
    </w:p>
    <w:p w:rsidR="00B834C0" w:rsidRDefault="00B834C0" w:rsidP="00E077D5">
      <w:pPr>
        <w:pStyle w:val="Textoindependiente"/>
      </w:pPr>
    </w:p>
    <w:p w:rsidR="00B834C0" w:rsidRPr="004E6F0E" w:rsidRDefault="00B834C0" w:rsidP="00E077D5">
      <w:pPr>
        <w:pStyle w:val="Textoindependiente"/>
        <w:rPr>
          <w:b/>
        </w:rPr>
      </w:pPr>
      <w:r w:rsidRPr="004E6F0E">
        <w:rPr>
          <w:b/>
        </w:rPr>
        <w:t>Obje</w:t>
      </w:r>
      <w:r w:rsidR="004E6F0E" w:rsidRPr="004E6F0E">
        <w:rPr>
          <w:b/>
        </w:rPr>
        <w:t>tivo</w:t>
      </w:r>
      <w:r w:rsidR="004319C1">
        <w:rPr>
          <w:b/>
        </w:rPr>
        <w:t xml:space="preserve"> General</w:t>
      </w:r>
    </w:p>
    <w:p w:rsidR="004E6F0E" w:rsidRDefault="004E6F0E" w:rsidP="00E077D5">
      <w:pPr>
        <w:pStyle w:val="Textoindependiente"/>
      </w:pPr>
    </w:p>
    <w:p w:rsidR="00956FA9" w:rsidRDefault="00956FA9" w:rsidP="004E6F0E">
      <w:pPr>
        <w:ind w:left="426" w:right="475"/>
        <w:jc w:val="both"/>
        <w:rPr>
          <w:lang w:val="es-CR"/>
        </w:rPr>
      </w:pPr>
      <w:r>
        <w:rPr>
          <w:lang w:val="es-CR"/>
        </w:rPr>
        <w:t xml:space="preserve">Generar </w:t>
      </w:r>
      <w:r w:rsidR="004E6F0E" w:rsidRPr="004E6F0E">
        <w:rPr>
          <w:lang w:val="es-CR"/>
        </w:rPr>
        <w:t xml:space="preserve">información </w:t>
      </w:r>
      <w:r>
        <w:rPr>
          <w:lang w:val="es-CR"/>
        </w:rPr>
        <w:t xml:space="preserve">estadística actualizada sobre las condiciones socioeconómicas y </w:t>
      </w:r>
      <w:r w:rsidR="00A26091">
        <w:rPr>
          <w:lang w:val="es-CR"/>
        </w:rPr>
        <w:t>socio</w:t>
      </w:r>
      <w:r w:rsidR="00D829FC">
        <w:rPr>
          <w:lang w:val="es-CR"/>
        </w:rPr>
        <w:t>-</w:t>
      </w:r>
      <w:r>
        <w:rPr>
          <w:lang w:val="es-CR"/>
        </w:rPr>
        <w:t xml:space="preserve">laborales </w:t>
      </w:r>
      <w:r w:rsidR="001C6B7A">
        <w:rPr>
          <w:lang w:val="es-CR"/>
        </w:rPr>
        <w:t xml:space="preserve">de la población costarricense </w:t>
      </w:r>
      <w:r w:rsidRPr="004E6F0E">
        <w:rPr>
          <w:lang w:val="es-CR"/>
        </w:rPr>
        <w:t xml:space="preserve">con el fin </w:t>
      </w:r>
      <w:r>
        <w:rPr>
          <w:lang w:val="es-CR"/>
        </w:rPr>
        <w:t>d</w:t>
      </w:r>
      <w:r w:rsidRPr="004E6F0E">
        <w:rPr>
          <w:lang w:val="es-CR"/>
        </w:rPr>
        <w:t xml:space="preserve">e que el BCCR calcule </w:t>
      </w:r>
      <w:r w:rsidR="001C6B7A">
        <w:rPr>
          <w:lang w:val="es-CR"/>
        </w:rPr>
        <w:t xml:space="preserve">los </w:t>
      </w:r>
      <w:r w:rsidRPr="004E6F0E">
        <w:rPr>
          <w:lang w:val="es-CR"/>
        </w:rPr>
        <w:t>indicadores del mercado laboral</w:t>
      </w:r>
      <w:r>
        <w:rPr>
          <w:lang w:val="es-CR"/>
        </w:rPr>
        <w:t>.</w:t>
      </w:r>
    </w:p>
    <w:p w:rsidR="00956FA9" w:rsidRDefault="00956FA9" w:rsidP="004E6F0E">
      <w:pPr>
        <w:ind w:left="426" w:right="475"/>
        <w:jc w:val="both"/>
        <w:rPr>
          <w:lang w:val="es-CR"/>
        </w:rPr>
      </w:pPr>
    </w:p>
    <w:p w:rsidR="004319C1" w:rsidRDefault="00D829FC" w:rsidP="004319C1">
      <w:pPr>
        <w:pStyle w:val="Textoindependiente"/>
        <w:rPr>
          <w:b/>
        </w:rPr>
      </w:pPr>
      <w:r w:rsidRPr="004E6F0E">
        <w:rPr>
          <w:b/>
        </w:rPr>
        <w:t>Objetivo</w:t>
      </w:r>
      <w:r>
        <w:rPr>
          <w:b/>
        </w:rPr>
        <w:t>s Específicos</w:t>
      </w:r>
    </w:p>
    <w:p w:rsidR="00956FA9" w:rsidRDefault="00956FA9" w:rsidP="004319C1">
      <w:pPr>
        <w:pStyle w:val="Textoindependiente"/>
        <w:rPr>
          <w:b/>
        </w:rPr>
      </w:pPr>
    </w:p>
    <w:p w:rsidR="009507A4" w:rsidRDefault="00956FA9" w:rsidP="009507A4">
      <w:pPr>
        <w:pStyle w:val="Textoindependiente"/>
        <w:numPr>
          <w:ilvl w:val="0"/>
          <w:numId w:val="20"/>
        </w:numPr>
      </w:pPr>
      <w:r w:rsidRPr="00956FA9">
        <w:t xml:space="preserve">Proveer </w:t>
      </w:r>
      <w:r>
        <w:t xml:space="preserve">información estadística </w:t>
      </w:r>
      <w:r w:rsidR="00A26091">
        <w:t xml:space="preserve">oportuna sobre </w:t>
      </w:r>
      <w:r w:rsidR="00F22471">
        <w:t>la población ocupada, desocupada, volumen de empleo medido en horas trabajadas o puestos de trabajo equivalentes a tiempo completo.</w:t>
      </w:r>
    </w:p>
    <w:p w:rsidR="00F22471" w:rsidRDefault="00F22471" w:rsidP="00F22471">
      <w:pPr>
        <w:pStyle w:val="Textoindependiente"/>
        <w:ind w:left="720"/>
      </w:pPr>
    </w:p>
    <w:p w:rsidR="00FE0EFE" w:rsidRDefault="001C6B7A" w:rsidP="00FE0EFE">
      <w:pPr>
        <w:pStyle w:val="Textoindependiente"/>
        <w:numPr>
          <w:ilvl w:val="0"/>
          <w:numId w:val="20"/>
        </w:numPr>
      </w:pPr>
      <w:r>
        <w:t>Estimar el monto y fuente de ingreso de los hogares y las personas residentes habituales de esos hogares.</w:t>
      </w:r>
      <w:r w:rsidR="00956FA9">
        <w:t xml:space="preserve"> </w:t>
      </w:r>
    </w:p>
    <w:p w:rsidR="00FE0EFE" w:rsidRDefault="00FE0EFE" w:rsidP="00FE0EFE">
      <w:pPr>
        <w:pStyle w:val="Prrafodelista"/>
      </w:pPr>
    </w:p>
    <w:p w:rsidR="00956FA9" w:rsidRPr="003C2613" w:rsidRDefault="00D863FF" w:rsidP="00A26091">
      <w:pPr>
        <w:pStyle w:val="Textoindependiente"/>
        <w:numPr>
          <w:ilvl w:val="0"/>
          <w:numId w:val="20"/>
        </w:numPr>
        <w:rPr>
          <w:b/>
          <w:lang w:val="es-ES"/>
        </w:rPr>
      </w:pPr>
      <w:r>
        <w:t>Obtener una serie de indicadores que permitan analizar la evolución</w:t>
      </w:r>
      <w:r w:rsidR="00FE0EFE">
        <w:t>, tendencia y las variaciones cíclicas y estacionales del mercado de trabajo.</w:t>
      </w:r>
      <w:r w:rsidR="00A26091" w:rsidRPr="003C2613">
        <w:rPr>
          <w:b/>
          <w:lang w:val="es-ES"/>
        </w:rPr>
        <w:t xml:space="preserve"> </w:t>
      </w:r>
    </w:p>
    <w:p w:rsidR="004E6F0E" w:rsidRDefault="004E6F0E" w:rsidP="00E077D5">
      <w:pPr>
        <w:pStyle w:val="Textoindependiente"/>
      </w:pPr>
    </w:p>
    <w:p w:rsidR="0053612C" w:rsidRPr="00A719B1" w:rsidRDefault="00A719B1" w:rsidP="0053612C">
      <w:pPr>
        <w:pStyle w:val="Textoindependiente"/>
      </w:pPr>
      <w:r>
        <w:t xml:space="preserve">Para la formulación del diseño muestral de la </w:t>
      </w:r>
      <w:r w:rsidR="004E2CB3">
        <w:t>ECE</w:t>
      </w:r>
      <w:r>
        <w:t xml:space="preserve"> se analizaron </w:t>
      </w:r>
      <w:r w:rsidR="0053612C" w:rsidRPr="00A719B1">
        <w:t xml:space="preserve">los </w:t>
      </w:r>
      <w:r>
        <w:t xml:space="preserve">niveles </w:t>
      </w:r>
      <w:r w:rsidR="0053612C" w:rsidRPr="00A719B1">
        <w:t xml:space="preserve">de precisión y tamaños de muestra </w:t>
      </w:r>
      <w:r>
        <w:t xml:space="preserve">para los principales indicadores del mercado de trabajo obtenidos de la EHPM; además, se contó con la asesoría técnica del señor Fernando Medina, </w:t>
      </w:r>
      <w:r w:rsidR="0053612C" w:rsidRPr="00A719B1">
        <w:t xml:space="preserve"> </w:t>
      </w:r>
      <w:r>
        <w:t>consultor de la CEPAL</w:t>
      </w:r>
      <w:r w:rsidR="00D81135">
        <w:t>; se realiz</w:t>
      </w:r>
      <w:r w:rsidR="00F93461">
        <w:t xml:space="preserve">aron </w:t>
      </w:r>
      <w:r w:rsidR="00D81135">
        <w:t>pasantía</w:t>
      </w:r>
      <w:r w:rsidR="00F93461">
        <w:t>s</w:t>
      </w:r>
      <w:r w:rsidR="00D81135">
        <w:t xml:space="preserve"> al Instituto Nacional de Estadística (INE) de España, </w:t>
      </w:r>
      <w:r w:rsidR="00F93461">
        <w:t xml:space="preserve">y al Instituto Nacional de Información y Desarrollo (INIDE) de Nicaragua; </w:t>
      </w:r>
      <w:r w:rsidR="00D81135">
        <w:t>y se consultó los diseños muestrales de Encuestas Continuas elaborados por algunos países latino</w:t>
      </w:r>
      <w:r w:rsidR="005708F5">
        <w:t>a</w:t>
      </w:r>
      <w:r w:rsidR="00D81135">
        <w:t>mericanos.</w:t>
      </w:r>
    </w:p>
    <w:p w:rsidR="0053612C" w:rsidRDefault="0053612C" w:rsidP="00D35DB6">
      <w:pPr>
        <w:jc w:val="both"/>
        <w:rPr>
          <w:lang w:val="es-CR"/>
        </w:rPr>
      </w:pPr>
    </w:p>
    <w:p w:rsidR="003C5797" w:rsidRPr="00A719B1" w:rsidRDefault="003C5797" w:rsidP="00D35DB6">
      <w:pPr>
        <w:jc w:val="both"/>
        <w:rPr>
          <w:lang w:val="es-CR"/>
        </w:rPr>
      </w:pPr>
    </w:p>
    <w:p w:rsidR="0053612C" w:rsidRPr="00A719B1" w:rsidRDefault="0053612C" w:rsidP="00D35DB6">
      <w:pPr>
        <w:jc w:val="both"/>
        <w:rPr>
          <w:lang w:val="es-CR"/>
        </w:rPr>
      </w:pPr>
    </w:p>
    <w:p w:rsidR="005708F5" w:rsidRDefault="005708F5">
      <w:pPr>
        <w:rPr>
          <w:b/>
          <w:bCs/>
          <w:lang w:val="es-CR"/>
        </w:rPr>
      </w:pPr>
      <w:r>
        <w:rPr>
          <w:b/>
          <w:bCs/>
          <w:lang w:val="es-CR"/>
        </w:rPr>
        <w:br w:type="page"/>
      </w:r>
    </w:p>
    <w:p w:rsidR="00E744AC" w:rsidRDefault="00E744AC" w:rsidP="00D333C0">
      <w:pPr>
        <w:pStyle w:val="Ttulo1"/>
        <w:ind w:left="0" w:firstLine="0"/>
      </w:pPr>
      <w:bookmarkStart w:id="2" w:name="_Toc237765362"/>
      <w:r>
        <w:lastRenderedPageBreak/>
        <w:t xml:space="preserve">1. POBLACIÓN </w:t>
      </w:r>
      <w:bookmarkEnd w:id="2"/>
      <w:r w:rsidR="00D829FC">
        <w:t>DE ESTUDIO</w:t>
      </w:r>
    </w:p>
    <w:p w:rsidR="00E744AC" w:rsidRDefault="00E744AC">
      <w:pPr>
        <w:autoSpaceDE w:val="0"/>
        <w:autoSpaceDN w:val="0"/>
        <w:adjustRightInd w:val="0"/>
        <w:jc w:val="both"/>
        <w:rPr>
          <w:b/>
          <w:bCs/>
          <w:szCs w:val="22"/>
        </w:rPr>
      </w:pPr>
    </w:p>
    <w:p w:rsidR="00E744AC" w:rsidRDefault="00E744AC">
      <w:pPr>
        <w:autoSpaceDE w:val="0"/>
        <w:autoSpaceDN w:val="0"/>
        <w:adjustRightInd w:val="0"/>
        <w:jc w:val="both"/>
        <w:rPr>
          <w:szCs w:val="22"/>
        </w:rPr>
      </w:pPr>
      <w:r>
        <w:rPr>
          <w:szCs w:val="22"/>
        </w:rPr>
        <w:t xml:space="preserve">La población que investiga la </w:t>
      </w:r>
      <w:r w:rsidR="004E2CB3">
        <w:rPr>
          <w:szCs w:val="22"/>
        </w:rPr>
        <w:t>ECE</w:t>
      </w:r>
      <w:r w:rsidR="004319C1">
        <w:rPr>
          <w:szCs w:val="22"/>
        </w:rPr>
        <w:t xml:space="preserve"> </w:t>
      </w:r>
      <w:r>
        <w:rPr>
          <w:szCs w:val="22"/>
        </w:rPr>
        <w:t>está definida como el conjunto de todas las viviendas individuales y sus ocupantes, residentes permanentes en esas viviendas, tanto del área urbana como del área rural de Costa Rica. Se excluye del estudio a la población residente en las viviendas colectivas (hoteles, hospitales, asilos, cárceles, conventos, etc.).</w:t>
      </w:r>
    </w:p>
    <w:p w:rsidR="00E744AC" w:rsidRDefault="00E744AC">
      <w:pPr>
        <w:jc w:val="both"/>
        <w:rPr>
          <w:b/>
          <w:bCs/>
        </w:rPr>
      </w:pPr>
    </w:p>
    <w:p w:rsidR="00E744AC" w:rsidRDefault="00E744AC">
      <w:pPr>
        <w:jc w:val="both"/>
        <w:rPr>
          <w:color w:val="000000"/>
        </w:rPr>
      </w:pPr>
      <w:r>
        <w:t>Por otro lado existe un interés del BCCR de obtener información de remuneraciones pagadas a trabajadores no residentes (RNH), por ejemplo, aquellos que participan en la zafra y recolección de otras cosechas o realizan otros trabajos, pero que residen en el país menos de un año, así como los pagos recibidos por personas residentes en su condición de trabajadores autónomos (ya sean empleadores o trabajadores por cuenta propia) que se dedican a la producción de servicios de mercado (consultores que prestan sus servicios en el exterior, por ejemplo), s</w:t>
      </w:r>
      <w:r>
        <w:rPr>
          <w:color w:val="000000"/>
        </w:rPr>
        <w:t>in embargo, la incorporación de este grupo poblacional tien</w:t>
      </w:r>
      <w:r w:rsidR="00E2346C">
        <w:rPr>
          <w:color w:val="000000"/>
        </w:rPr>
        <w:t>e dos implicaciones importantes: p</w:t>
      </w:r>
      <w:r>
        <w:rPr>
          <w:color w:val="000000"/>
        </w:rPr>
        <w:t>or un lado, dependiendo de la magnitud de esta población, puede afectar los indicadores tradicionales de empleo, desempleo e ingresos con lo cual se perdería la comparabilidad con los resultados de encuestas anteriores</w:t>
      </w:r>
      <w:r w:rsidR="00E2346C">
        <w:rPr>
          <w:color w:val="000000"/>
        </w:rPr>
        <w:t xml:space="preserve">; </w:t>
      </w:r>
      <w:r>
        <w:rPr>
          <w:color w:val="000000"/>
        </w:rPr>
        <w:t xml:space="preserve"> por otro lado,  incluirlos implicaría </w:t>
      </w:r>
      <w:r w:rsidR="005708F5">
        <w:rPr>
          <w:color w:val="000000"/>
        </w:rPr>
        <w:t xml:space="preserve">aumentar considerablemente los </w:t>
      </w:r>
      <w:r>
        <w:rPr>
          <w:color w:val="000000"/>
        </w:rPr>
        <w:t>tamaño</w:t>
      </w:r>
      <w:r w:rsidR="005708F5">
        <w:rPr>
          <w:color w:val="000000"/>
        </w:rPr>
        <w:t xml:space="preserve">s </w:t>
      </w:r>
      <w:r>
        <w:rPr>
          <w:color w:val="000000"/>
        </w:rPr>
        <w:t>de muestra</w:t>
      </w:r>
      <w:r w:rsidR="005708F5">
        <w:rPr>
          <w:color w:val="000000"/>
        </w:rPr>
        <w:t xml:space="preserve"> para captar esta subpoblación</w:t>
      </w:r>
      <w:r>
        <w:rPr>
          <w:color w:val="000000"/>
        </w:rPr>
        <w:t xml:space="preserve">, y </w:t>
      </w:r>
      <w:r w:rsidR="005708F5">
        <w:rPr>
          <w:color w:val="000000"/>
        </w:rPr>
        <w:t xml:space="preserve">modificar </w:t>
      </w:r>
      <w:r>
        <w:rPr>
          <w:color w:val="000000"/>
        </w:rPr>
        <w:t xml:space="preserve">los procedimientos de selección de viviendas. Esto sin lugar a dudas, afectaría los costos y los niveles de precisión inicialmente planteados.  </w:t>
      </w:r>
    </w:p>
    <w:p w:rsidR="00E744AC" w:rsidRDefault="00E744AC">
      <w:pPr>
        <w:pStyle w:val="Textoindependiente3"/>
        <w:rPr>
          <w:color w:val="000000"/>
        </w:rPr>
      </w:pPr>
    </w:p>
    <w:p w:rsidR="00E744AC" w:rsidRDefault="00E2346C">
      <w:pPr>
        <w:jc w:val="both"/>
        <w:rPr>
          <w:color w:val="000000"/>
        </w:rPr>
      </w:pPr>
      <w:r>
        <w:rPr>
          <w:color w:val="000000"/>
        </w:rPr>
        <w:t xml:space="preserve">Para evaluar el peso de este grupo poblacional se analizaron los resultados de la EHPM 2007, </w:t>
      </w:r>
      <w:r w:rsidR="00D829FC">
        <w:rPr>
          <w:color w:val="000000"/>
        </w:rPr>
        <w:t>se estimó</w:t>
      </w:r>
      <w:r w:rsidR="00E744AC">
        <w:rPr>
          <w:color w:val="000000"/>
        </w:rPr>
        <w:t xml:space="preserve"> en 0.7% la población extranjera con menos de un año de residir en el país, y de esos un 0.3% tienen menos de seis meses. </w:t>
      </w:r>
      <w:r>
        <w:rPr>
          <w:color w:val="000000"/>
        </w:rPr>
        <w:t xml:space="preserve">En </w:t>
      </w:r>
      <w:r w:rsidR="00E744AC">
        <w:rPr>
          <w:color w:val="000000"/>
        </w:rPr>
        <w:t xml:space="preserve">el </w:t>
      </w:r>
      <w:r>
        <w:rPr>
          <w:color w:val="000000"/>
        </w:rPr>
        <w:t xml:space="preserve">listado del </w:t>
      </w:r>
      <w:r w:rsidR="00E744AC">
        <w:rPr>
          <w:color w:val="000000"/>
        </w:rPr>
        <w:t>Registro de Edificios y Viviendas (REV)</w:t>
      </w:r>
      <w:r w:rsidRPr="00E2346C">
        <w:rPr>
          <w:rStyle w:val="Refdenotaalpie"/>
          <w:color w:val="000000"/>
          <w:vertAlign w:val="superscript"/>
        </w:rPr>
        <w:footnoteReference w:id="1"/>
      </w:r>
      <w:r w:rsidR="00E744AC">
        <w:rPr>
          <w:color w:val="000000"/>
        </w:rPr>
        <w:t xml:space="preserve"> de la </w:t>
      </w:r>
      <w:r w:rsidR="00D829FC">
        <w:rPr>
          <w:color w:val="000000"/>
        </w:rPr>
        <w:t>EHPM 2007</w:t>
      </w:r>
      <w:r w:rsidR="00E744AC">
        <w:rPr>
          <w:color w:val="000000"/>
        </w:rPr>
        <w:t xml:space="preserve">, un 1.8% </w:t>
      </w:r>
      <w:r w:rsidR="00E232D4">
        <w:rPr>
          <w:color w:val="000000"/>
        </w:rPr>
        <w:t xml:space="preserve">de estructuras son </w:t>
      </w:r>
      <w:r w:rsidR="00E744AC">
        <w:rPr>
          <w:color w:val="000000"/>
        </w:rPr>
        <w:t>reporta</w:t>
      </w:r>
      <w:r w:rsidR="00E232D4">
        <w:rPr>
          <w:color w:val="000000"/>
        </w:rPr>
        <w:t xml:space="preserve">das </w:t>
      </w:r>
      <w:r w:rsidR="00E744AC">
        <w:rPr>
          <w:color w:val="000000"/>
        </w:rPr>
        <w:t xml:space="preserve">como viviendas con RNH, y un 3.3% son estructuras de uso transitorio: baches 0.5%, </w:t>
      </w:r>
      <w:r w:rsidR="00CB7F86">
        <w:rPr>
          <w:color w:val="000000"/>
        </w:rPr>
        <w:t xml:space="preserve">viviendas de </w:t>
      </w:r>
      <w:r w:rsidR="00E744AC">
        <w:rPr>
          <w:color w:val="000000"/>
        </w:rPr>
        <w:t xml:space="preserve">veraneo 0.7%, y un 2.1% no se especifica el tipo de estructura transitoria. Esto significa que utilizando el REV como marco para llegar a este grupo ocupacional se estaría incluyendo a lo más un 5% de estructuras. Una alternativa para aumentar la cobertura es </w:t>
      </w:r>
      <w:r w:rsidR="00D829FC">
        <w:rPr>
          <w:color w:val="000000"/>
        </w:rPr>
        <w:t>ampliar el</w:t>
      </w:r>
      <w:r w:rsidR="00E744AC">
        <w:rPr>
          <w:color w:val="000000"/>
        </w:rPr>
        <w:t xml:space="preserve"> área de estudio a los segmentos adyacentes a los </w:t>
      </w:r>
      <w:r w:rsidR="00CB7F86">
        <w:rPr>
          <w:color w:val="000000"/>
        </w:rPr>
        <w:t xml:space="preserve">seleccionados en </w:t>
      </w:r>
      <w:r w:rsidR="00E744AC">
        <w:rPr>
          <w:color w:val="000000"/>
        </w:rPr>
        <w:t>la encuesta en donde se identifiquen viviendas con RNH o estructuras de uso transitorio exclusivamente para trabajo</w:t>
      </w:r>
      <w:r w:rsidR="00E744AC">
        <w:rPr>
          <w:rStyle w:val="Refdenotaalpie"/>
          <w:color w:val="000000"/>
          <w:vertAlign w:val="superscript"/>
        </w:rPr>
        <w:footnoteReference w:id="2"/>
      </w:r>
      <w:r w:rsidR="00E744AC">
        <w:rPr>
          <w:color w:val="000000"/>
        </w:rPr>
        <w:t xml:space="preserve">. </w:t>
      </w:r>
    </w:p>
    <w:p w:rsidR="004C2BFA" w:rsidRDefault="004C2BFA">
      <w:pPr>
        <w:jc w:val="both"/>
        <w:rPr>
          <w:color w:val="000000"/>
        </w:rPr>
      </w:pPr>
    </w:p>
    <w:p w:rsidR="00E744AC" w:rsidRDefault="004C2BFA">
      <w:pPr>
        <w:jc w:val="both"/>
        <w:rPr>
          <w:color w:val="000000"/>
        </w:rPr>
      </w:pPr>
      <w:r>
        <w:rPr>
          <w:color w:val="000000"/>
        </w:rPr>
        <w:t xml:space="preserve">Como un paso preliminar durante el levantamiento del REV en los segmentos seleccionados se levantó una pequeña encuesta en estructuras identificadas como baches para caracterizar esta </w:t>
      </w:r>
      <w:r w:rsidR="009A224E">
        <w:rPr>
          <w:color w:val="000000"/>
        </w:rPr>
        <w:t>sub</w:t>
      </w:r>
      <w:r>
        <w:rPr>
          <w:color w:val="000000"/>
        </w:rPr>
        <w:t>población</w:t>
      </w:r>
      <w:r w:rsidR="00297ECD">
        <w:rPr>
          <w:color w:val="000000"/>
        </w:rPr>
        <w:t xml:space="preserve"> (</w:t>
      </w:r>
      <w:hyperlink w:anchor="anexo1" w:history="1">
        <w:r w:rsidR="008D7CCF" w:rsidRPr="00551551">
          <w:rPr>
            <w:rStyle w:val="Hipervnculo"/>
          </w:rPr>
          <w:t>A</w:t>
        </w:r>
        <w:r w:rsidR="00297ECD" w:rsidRPr="00551551">
          <w:rPr>
            <w:rStyle w:val="Hipervnculo"/>
          </w:rPr>
          <w:t>nexo 1</w:t>
        </w:r>
      </w:hyperlink>
      <w:r w:rsidR="00297ECD">
        <w:rPr>
          <w:color w:val="000000"/>
        </w:rPr>
        <w:t>)</w:t>
      </w:r>
      <w:r>
        <w:rPr>
          <w:color w:val="000000"/>
        </w:rPr>
        <w:t xml:space="preserve">, y evaluar </w:t>
      </w:r>
      <w:r w:rsidR="00637545">
        <w:rPr>
          <w:color w:val="000000"/>
        </w:rPr>
        <w:t xml:space="preserve">la importancia e </w:t>
      </w:r>
      <w:r>
        <w:rPr>
          <w:color w:val="000000"/>
        </w:rPr>
        <w:t xml:space="preserve">inclusión </w:t>
      </w:r>
      <w:r w:rsidR="00637545">
        <w:rPr>
          <w:color w:val="000000"/>
        </w:rPr>
        <w:t xml:space="preserve">dentro </w:t>
      </w:r>
      <w:r>
        <w:rPr>
          <w:color w:val="000000"/>
        </w:rPr>
        <w:t>de la población de estudio</w:t>
      </w:r>
      <w:r w:rsidR="00637545">
        <w:rPr>
          <w:color w:val="000000"/>
        </w:rPr>
        <w:t>.</w:t>
      </w:r>
      <w:r>
        <w:rPr>
          <w:color w:val="000000"/>
        </w:rPr>
        <w:t xml:space="preserve"> </w:t>
      </w:r>
      <w:r w:rsidR="00703DCA">
        <w:rPr>
          <w:color w:val="000000"/>
        </w:rPr>
        <w:t>Para no afectar la comparabilidad con los indicadores tradicionales de empleo, desempleo e ingresos, e</w:t>
      </w:r>
      <w:r w:rsidR="00637545">
        <w:rPr>
          <w:color w:val="000000"/>
        </w:rPr>
        <w:t xml:space="preserve">n </w:t>
      </w:r>
      <w:r w:rsidR="00E232D4">
        <w:rPr>
          <w:color w:val="000000"/>
        </w:rPr>
        <w:t xml:space="preserve">el </w:t>
      </w:r>
      <w:r w:rsidR="00637545">
        <w:rPr>
          <w:color w:val="000000"/>
        </w:rPr>
        <w:t xml:space="preserve">caso de que se </w:t>
      </w:r>
      <w:r w:rsidR="00E232D4">
        <w:rPr>
          <w:color w:val="000000"/>
        </w:rPr>
        <w:t xml:space="preserve">tome la decisión de </w:t>
      </w:r>
      <w:r w:rsidR="00637545">
        <w:rPr>
          <w:color w:val="000000"/>
        </w:rPr>
        <w:t>incluir</w:t>
      </w:r>
      <w:r w:rsidR="00703DCA">
        <w:rPr>
          <w:color w:val="000000"/>
        </w:rPr>
        <w:t xml:space="preserve"> este grupo poblacional en la encuesta, </w:t>
      </w:r>
      <w:r w:rsidR="00E744AC">
        <w:rPr>
          <w:color w:val="000000"/>
        </w:rPr>
        <w:t xml:space="preserve">se recomienda utilizar un filtro para </w:t>
      </w:r>
      <w:r w:rsidR="00D829FC">
        <w:rPr>
          <w:color w:val="000000"/>
        </w:rPr>
        <w:t>identificarlos de</w:t>
      </w:r>
      <w:r w:rsidR="00E744AC">
        <w:rPr>
          <w:color w:val="000000"/>
        </w:rPr>
        <w:t xml:space="preserve"> tal manera que se puedan incluir o excluir en la estimación de </w:t>
      </w:r>
      <w:r w:rsidR="00703DCA">
        <w:rPr>
          <w:color w:val="000000"/>
        </w:rPr>
        <w:t xml:space="preserve">estos </w:t>
      </w:r>
      <w:r w:rsidR="00E744AC">
        <w:rPr>
          <w:color w:val="000000"/>
        </w:rPr>
        <w:t xml:space="preserve">indicadores. Además, para no afectar los tamaños de muestra y la precisión esperada en los principales indicadores de la </w:t>
      </w:r>
      <w:r w:rsidR="004E2CB3">
        <w:rPr>
          <w:color w:val="000000"/>
        </w:rPr>
        <w:t>ECE</w:t>
      </w:r>
      <w:r w:rsidR="00E744AC">
        <w:rPr>
          <w:color w:val="000000"/>
        </w:rPr>
        <w:t xml:space="preserve">, se recomienda la selección de una muestra adicional de viviendas en los segmentos en donde se identifiquen viviendas con RNH o estructuras de uso transitorio exclusivamente para trabajo, o efectuar un censo o barrido en todas las estructuras que aparezcan </w:t>
      </w:r>
      <w:r w:rsidR="00E744AC">
        <w:rPr>
          <w:color w:val="000000"/>
        </w:rPr>
        <w:lastRenderedPageBreak/>
        <w:t>RNH. Esto debe considerarse a la luz de los costos adicionales que implicaría la inclusión de esta población así como su peso en las estimaciones según los objetivos del BCCR.</w:t>
      </w:r>
    </w:p>
    <w:p w:rsidR="009679FC" w:rsidRDefault="009679FC">
      <w:pPr>
        <w:jc w:val="both"/>
        <w:rPr>
          <w:color w:val="000000"/>
        </w:rPr>
      </w:pPr>
    </w:p>
    <w:p w:rsidR="00B54BA5" w:rsidRPr="00D333C0" w:rsidRDefault="00B54BA5" w:rsidP="00B54BA5">
      <w:pPr>
        <w:pStyle w:val="Ttulo1"/>
        <w:ind w:left="0" w:firstLine="0"/>
      </w:pPr>
      <w:bookmarkStart w:id="3" w:name="_Toc237765363"/>
      <w:r>
        <w:t>2</w:t>
      </w:r>
      <w:r w:rsidRPr="00D333C0">
        <w:t>. MARCO MUESTRAL</w:t>
      </w:r>
      <w:bookmarkEnd w:id="3"/>
    </w:p>
    <w:p w:rsidR="00B54BA5" w:rsidRDefault="00B54BA5" w:rsidP="00B54BA5">
      <w:pPr>
        <w:autoSpaceDE w:val="0"/>
        <w:autoSpaceDN w:val="0"/>
        <w:adjustRightInd w:val="0"/>
        <w:jc w:val="both"/>
        <w:rPr>
          <w:b/>
          <w:bCs/>
          <w:szCs w:val="22"/>
        </w:rPr>
      </w:pPr>
    </w:p>
    <w:p w:rsidR="00B54BA5" w:rsidRDefault="00B54BA5" w:rsidP="00D14581">
      <w:pPr>
        <w:autoSpaceDE w:val="0"/>
        <w:autoSpaceDN w:val="0"/>
        <w:adjustRightInd w:val="0"/>
        <w:jc w:val="both"/>
        <w:rPr>
          <w:lang w:val="es-ES_tradnl"/>
        </w:rPr>
      </w:pPr>
      <w:r>
        <w:rPr>
          <w:szCs w:val="22"/>
        </w:rPr>
        <w:t xml:space="preserve">El marco muestral de viviendas (MMV-2000) para la selección de la muestra se construyó a partir de la información de los Censos Nacionales de Población y Vivienda efectuados en el año 2000. </w:t>
      </w:r>
      <w:r>
        <w:rPr>
          <w:lang w:val="es-ES_tradnl"/>
        </w:rPr>
        <w:t xml:space="preserve">El MMV-00 corresponde al tipo llamado Marco de Áreas, que se caracteriza porque sus unidades son superficies geográficas con límites claramente definidos.  En un marco </w:t>
      </w:r>
      <w:r w:rsidR="00D829FC">
        <w:rPr>
          <w:lang w:val="es-ES_tradnl"/>
        </w:rPr>
        <w:t xml:space="preserve">de </w:t>
      </w:r>
      <w:r w:rsidR="000F33A5">
        <w:rPr>
          <w:lang w:val="es-ES_tradnl"/>
        </w:rPr>
        <w:t>áreas los</w:t>
      </w:r>
      <w:r>
        <w:rPr>
          <w:lang w:val="es-ES_tradnl"/>
        </w:rPr>
        <w:t xml:space="preserve"> hogares se encuentran asociados a las respectivas viviendas individuales ubicadas dentro de estas unidades, </w:t>
      </w:r>
      <w:r w:rsidR="000F33A5">
        <w:rPr>
          <w:lang w:val="es-ES_tradnl"/>
        </w:rPr>
        <w:t>esto hace</w:t>
      </w:r>
      <w:r>
        <w:rPr>
          <w:lang w:val="es-ES_tradnl"/>
        </w:rPr>
        <w:t xml:space="preserve"> posible tener una medida muy aproximada de las probabilidades de selección de los hogares. </w:t>
      </w:r>
    </w:p>
    <w:p w:rsidR="00B54BA5" w:rsidRDefault="00B54BA5" w:rsidP="00B54BA5">
      <w:pPr>
        <w:jc w:val="both"/>
        <w:rPr>
          <w:lang w:val="es-ES_tradnl"/>
        </w:rPr>
      </w:pPr>
    </w:p>
    <w:p w:rsidR="00B54BA5" w:rsidRDefault="00B54BA5" w:rsidP="00B54BA5">
      <w:pPr>
        <w:jc w:val="both"/>
        <w:rPr>
          <w:lang w:val="es-ES_tradnl"/>
        </w:rPr>
      </w:pPr>
      <w:r>
        <w:rPr>
          <w:lang w:val="es-ES_tradnl"/>
        </w:rPr>
        <w:t>En el caso del MMV-00 de Costa Rica</w:t>
      </w:r>
      <w:r w:rsidR="00D829FC">
        <w:rPr>
          <w:lang w:val="es-ES_tradnl"/>
        </w:rPr>
        <w:t>, las</w:t>
      </w:r>
      <w:r>
        <w:rPr>
          <w:lang w:val="es-ES_tradnl"/>
        </w:rPr>
        <w:t xml:space="preserve"> unidades de marco están definidas por los segmentos censales, los cuales son áreas geográficas en que se divide cada distrito del país y que contienen en promedio 60 viviendas en las zonas urbanas y 40 viviendas en promedio en las zonas rurales. En total lo </w:t>
      </w:r>
      <w:r w:rsidR="00D829FC">
        <w:rPr>
          <w:lang w:val="es-ES_tradnl"/>
        </w:rPr>
        <w:t>conforman 17</w:t>
      </w:r>
      <w:r>
        <w:rPr>
          <w:lang w:val="es-ES_tradnl"/>
        </w:rPr>
        <w:t xml:space="preserve"> 496 segmentos clasificados como urbanos un 55.2</w:t>
      </w:r>
      <w:r w:rsidR="005B4231">
        <w:rPr>
          <w:lang w:val="es-ES_tradnl"/>
        </w:rPr>
        <w:t>% y</w:t>
      </w:r>
      <w:r>
        <w:rPr>
          <w:lang w:val="es-ES_tradnl"/>
        </w:rPr>
        <w:t xml:space="preserve"> como rurales 44.8%, y 1 029 867 viviendas, 61.2</w:t>
      </w:r>
      <w:r w:rsidR="005B4231">
        <w:rPr>
          <w:lang w:val="es-ES_tradnl"/>
        </w:rPr>
        <w:t>% en</w:t>
      </w:r>
      <w:r>
        <w:rPr>
          <w:lang w:val="es-ES_tradnl"/>
        </w:rPr>
        <w:t xml:space="preserve"> zonas urbanas y 38.8% en zonas rurales (</w:t>
      </w:r>
      <w:r w:rsidRPr="00EE5353">
        <w:rPr>
          <w:color w:val="212BEB"/>
          <w:lang w:val="es-ES_tradnl"/>
        </w:rPr>
        <w:t>Cuadro 1</w:t>
      </w:r>
      <w:r>
        <w:rPr>
          <w:lang w:val="es-ES_tradnl"/>
        </w:rPr>
        <w:t xml:space="preserve">).  </w:t>
      </w:r>
    </w:p>
    <w:p w:rsidR="00B54BA5" w:rsidRDefault="00B54BA5" w:rsidP="00B54BA5">
      <w:pPr>
        <w:jc w:val="both"/>
        <w:rPr>
          <w:lang w:val="es-ES_tradnl"/>
        </w:rPr>
      </w:pPr>
    </w:p>
    <w:p w:rsidR="00B54BA5" w:rsidRDefault="00B54BA5" w:rsidP="00B54BA5">
      <w:pPr>
        <w:jc w:val="both"/>
        <w:rPr>
          <w:lang w:val="es-ES_tradnl"/>
        </w:rPr>
      </w:pPr>
      <w:r>
        <w:rPr>
          <w:lang w:val="es-ES_tradnl"/>
        </w:rPr>
        <w:t xml:space="preserve">Además del conjunto de segmentos censales, el MMV-00 se </w:t>
      </w:r>
      <w:r w:rsidR="00D829FC">
        <w:rPr>
          <w:lang w:val="es-ES_tradnl"/>
        </w:rPr>
        <w:t>complementa con</w:t>
      </w:r>
      <w:r>
        <w:rPr>
          <w:lang w:val="es-ES_tradnl"/>
        </w:rPr>
        <w:t xml:space="preserve"> información demográfica y socioeconómica proveniente de los censos nacionales, y con mapas cartográficos que permiten la ubicación, ordenamiento y estratificación de cada uno de estos segmentos. </w:t>
      </w:r>
    </w:p>
    <w:p w:rsidR="00B54BA5" w:rsidRDefault="00B54BA5"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7C7965" w:rsidRDefault="007C7965"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7C7965" w:rsidRDefault="007C7965"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313D5A" w:rsidRDefault="00313D5A"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313D5A" w:rsidRDefault="00313D5A"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313D5A" w:rsidRDefault="00313D5A"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A7543F" w:rsidRDefault="00A7543F"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p>
    <w:p w:rsidR="00B54BA5" w:rsidRDefault="00B54BA5" w:rsidP="002A2865">
      <w:pPr>
        <w:tabs>
          <w:tab w:val="center" w:pos="4680"/>
          <w:tab w:val="left" w:pos="5040"/>
          <w:tab w:val="left" w:pos="5760"/>
          <w:tab w:val="left" w:pos="6480"/>
          <w:tab w:val="left" w:pos="7200"/>
          <w:tab w:val="left" w:pos="7920"/>
          <w:tab w:val="left" w:pos="8640"/>
          <w:tab w:val="left" w:pos="9360"/>
        </w:tabs>
        <w:ind w:left="1560"/>
        <w:rPr>
          <w:b/>
          <w:sz w:val="20"/>
          <w:lang w:val="es-ES_tradnl"/>
        </w:rPr>
      </w:pPr>
      <w:r>
        <w:rPr>
          <w:b/>
          <w:sz w:val="20"/>
          <w:lang w:val="es-ES_tradnl"/>
        </w:rPr>
        <w:lastRenderedPageBreak/>
        <w:t>CUADRO 1</w:t>
      </w:r>
    </w:p>
    <w:p w:rsidR="00B54BA5" w:rsidRDefault="00B54BA5" w:rsidP="002A2865">
      <w:pPr>
        <w:tabs>
          <w:tab w:val="center" w:pos="4680"/>
          <w:tab w:val="left" w:pos="5040"/>
          <w:tab w:val="left" w:pos="5760"/>
          <w:tab w:val="left" w:pos="6480"/>
          <w:tab w:val="left" w:pos="7200"/>
          <w:tab w:val="left" w:pos="7920"/>
          <w:tab w:val="left" w:pos="8640"/>
          <w:tab w:val="left" w:pos="9360"/>
        </w:tabs>
        <w:ind w:left="1560"/>
        <w:rPr>
          <w:b/>
          <w:sz w:val="20"/>
          <w:lang w:val="es-ES_tradnl"/>
        </w:rPr>
      </w:pPr>
      <w:r>
        <w:rPr>
          <w:b/>
          <w:sz w:val="20"/>
          <w:lang w:val="es-ES_tradnl"/>
        </w:rPr>
        <w:t xml:space="preserve">DISTRIBUCIÓN DE SEGMENTOS Y VIVENDAS DEL MARCO MUESTRAL </w:t>
      </w:r>
    </w:p>
    <w:p w:rsidR="00B54BA5" w:rsidRDefault="00B54BA5" w:rsidP="002A2865">
      <w:pPr>
        <w:tabs>
          <w:tab w:val="center" w:pos="4680"/>
          <w:tab w:val="left" w:pos="5040"/>
          <w:tab w:val="left" w:pos="5760"/>
          <w:tab w:val="left" w:pos="6480"/>
          <w:tab w:val="left" w:pos="7200"/>
          <w:tab w:val="left" w:pos="7920"/>
          <w:tab w:val="left" w:pos="8640"/>
          <w:tab w:val="left" w:pos="9360"/>
        </w:tabs>
        <w:ind w:left="1560"/>
        <w:rPr>
          <w:b/>
          <w:sz w:val="20"/>
          <w:lang w:val="es-ES_tradnl"/>
        </w:rPr>
      </w:pPr>
      <w:r>
        <w:rPr>
          <w:b/>
          <w:sz w:val="20"/>
          <w:lang w:val="es-ES_tradnl"/>
        </w:rPr>
        <w:t>SEGÚN REGIÓN DE PLANIFICACIÓN Y ZONA</w:t>
      </w:r>
    </w:p>
    <w:p w:rsidR="00D14581" w:rsidRDefault="00974B1A" w:rsidP="00B54BA5">
      <w:pPr>
        <w:tabs>
          <w:tab w:val="center" w:pos="4680"/>
          <w:tab w:val="left" w:pos="5040"/>
          <w:tab w:val="left" w:pos="5760"/>
          <w:tab w:val="left" w:pos="6480"/>
          <w:tab w:val="left" w:pos="7200"/>
          <w:tab w:val="left" w:pos="7920"/>
          <w:tab w:val="left" w:pos="8640"/>
          <w:tab w:val="left" w:pos="9360"/>
        </w:tabs>
        <w:jc w:val="center"/>
        <w:rPr>
          <w:b/>
          <w:sz w:val="20"/>
          <w:lang w:val="es-ES_tradnl"/>
        </w:rPr>
      </w:pPr>
      <w:r>
        <w:rPr>
          <w:b/>
          <w:noProof/>
          <w:sz w:val="20"/>
          <w:lang w:val="es-CR" w:eastAsia="es-CR"/>
        </w:rPr>
        <w:drawing>
          <wp:inline distT="0" distB="0" distL="0" distR="0">
            <wp:extent cx="4067175" cy="41719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67175" cy="4171950"/>
                    </a:xfrm>
                    <a:prstGeom prst="rect">
                      <a:avLst/>
                    </a:prstGeom>
                    <a:noFill/>
                    <a:ln>
                      <a:noFill/>
                    </a:ln>
                  </pic:spPr>
                </pic:pic>
              </a:graphicData>
            </a:graphic>
          </wp:inline>
        </w:drawing>
      </w:r>
    </w:p>
    <w:p w:rsidR="007F6B3F" w:rsidRDefault="007F6B3F" w:rsidP="00D333C0">
      <w:pPr>
        <w:pStyle w:val="Ttulo1"/>
        <w:ind w:left="0" w:firstLine="0"/>
      </w:pPr>
    </w:p>
    <w:p w:rsidR="00995B78" w:rsidRDefault="00995B78" w:rsidP="00D333C0">
      <w:pPr>
        <w:pStyle w:val="Ttulo1"/>
        <w:ind w:left="0" w:firstLine="0"/>
      </w:pPr>
      <w:bookmarkStart w:id="4" w:name="_Toc237765364"/>
    </w:p>
    <w:p w:rsidR="00E744AC" w:rsidRPr="00D333C0" w:rsidRDefault="00D14581" w:rsidP="00D333C0">
      <w:pPr>
        <w:pStyle w:val="Ttulo1"/>
        <w:ind w:left="0" w:firstLine="0"/>
      </w:pPr>
      <w:r>
        <w:t>3</w:t>
      </w:r>
      <w:r w:rsidR="00E744AC" w:rsidRPr="00D333C0">
        <w:t>. D</w:t>
      </w:r>
      <w:r>
        <w:t>ISEÑO DE LA MUESTRA</w:t>
      </w:r>
      <w:bookmarkEnd w:id="4"/>
    </w:p>
    <w:p w:rsidR="00E744AC" w:rsidRDefault="00E744AC">
      <w:pPr>
        <w:autoSpaceDE w:val="0"/>
        <w:autoSpaceDN w:val="0"/>
        <w:adjustRightInd w:val="0"/>
        <w:jc w:val="both"/>
        <w:rPr>
          <w:b/>
          <w:bCs/>
          <w:szCs w:val="22"/>
        </w:rPr>
      </w:pPr>
    </w:p>
    <w:p w:rsidR="00563EB0" w:rsidRDefault="00D829FC" w:rsidP="00563EB0">
      <w:pPr>
        <w:autoSpaceDE w:val="0"/>
        <w:autoSpaceDN w:val="0"/>
        <w:adjustRightInd w:val="0"/>
        <w:jc w:val="both"/>
        <w:rPr>
          <w:bCs/>
          <w:szCs w:val="22"/>
        </w:rPr>
      </w:pPr>
      <w:r>
        <w:rPr>
          <w:bCs/>
          <w:szCs w:val="22"/>
        </w:rPr>
        <w:t>En la</w:t>
      </w:r>
      <w:r w:rsidR="00D14581">
        <w:rPr>
          <w:bCs/>
          <w:szCs w:val="22"/>
        </w:rPr>
        <w:t xml:space="preserve"> elaboración del diseño de la muestra se consideró </w:t>
      </w:r>
      <w:r w:rsidR="00405A5F">
        <w:rPr>
          <w:bCs/>
          <w:szCs w:val="22"/>
        </w:rPr>
        <w:t xml:space="preserve">los objetivos de la encuesta, los requerimientos de información del BCCR, y se utilizó </w:t>
      </w:r>
      <w:r w:rsidR="00D14581">
        <w:rPr>
          <w:bCs/>
          <w:szCs w:val="22"/>
        </w:rPr>
        <w:t xml:space="preserve">la información proveniente de la EHPM </w:t>
      </w:r>
      <w:r w:rsidR="00563EB0">
        <w:rPr>
          <w:bCs/>
          <w:szCs w:val="22"/>
        </w:rPr>
        <w:t xml:space="preserve">2006 y 2007 </w:t>
      </w:r>
      <w:r w:rsidR="00D14581">
        <w:rPr>
          <w:bCs/>
          <w:szCs w:val="22"/>
        </w:rPr>
        <w:t>sobre los principales indicadores de empleo y desempleo y sus niveles de precisión</w:t>
      </w:r>
      <w:r w:rsidR="00563EB0">
        <w:rPr>
          <w:bCs/>
          <w:szCs w:val="22"/>
        </w:rPr>
        <w:t xml:space="preserve">. </w:t>
      </w:r>
      <w:bookmarkStart w:id="5" w:name="_Toc231717686"/>
    </w:p>
    <w:p w:rsidR="00563EB0" w:rsidRDefault="00563EB0" w:rsidP="00563EB0">
      <w:pPr>
        <w:autoSpaceDE w:val="0"/>
        <w:autoSpaceDN w:val="0"/>
        <w:adjustRightInd w:val="0"/>
        <w:jc w:val="both"/>
        <w:rPr>
          <w:bCs/>
          <w:szCs w:val="22"/>
        </w:rPr>
      </w:pPr>
    </w:p>
    <w:p w:rsidR="00D14581" w:rsidRPr="00E63068" w:rsidRDefault="00563EB0" w:rsidP="00E63068">
      <w:pPr>
        <w:pStyle w:val="Ttulo2"/>
        <w:jc w:val="left"/>
      </w:pPr>
      <w:bookmarkStart w:id="6" w:name="_Toc237765365"/>
      <w:r w:rsidRPr="00E63068">
        <w:t xml:space="preserve">3.1 </w:t>
      </w:r>
      <w:bookmarkEnd w:id="5"/>
      <w:r w:rsidR="00D14581" w:rsidRPr="00E63068">
        <w:t>Dominios de Estudio</w:t>
      </w:r>
      <w:bookmarkEnd w:id="6"/>
    </w:p>
    <w:p w:rsidR="00D14581" w:rsidRDefault="00D14581">
      <w:pPr>
        <w:autoSpaceDE w:val="0"/>
        <w:autoSpaceDN w:val="0"/>
        <w:adjustRightInd w:val="0"/>
        <w:jc w:val="both"/>
        <w:rPr>
          <w:b/>
          <w:bCs/>
          <w:szCs w:val="22"/>
        </w:rPr>
      </w:pPr>
    </w:p>
    <w:p w:rsidR="00D77BA3" w:rsidRDefault="00563EB0" w:rsidP="00D77BA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Pr>
          <w:lang w:val="es-ES_tradnl"/>
        </w:rPr>
        <w:t xml:space="preserve">Los dominios de estudio son subpoblaciones generalmente relacionadas </w:t>
      </w:r>
      <w:r w:rsidR="00D829FC">
        <w:rPr>
          <w:lang w:val="es-ES_tradnl"/>
        </w:rPr>
        <w:t>a áreas</w:t>
      </w:r>
      <w:r>
        <w:rPr>
          <w:lang w:val="es-ES_tradnl"/>
        </w:rPr>
        <w:t xml:space="preserve"> geográficas para las cuales se requiere estimaciones con una precisión conocida. </w:t>
      </w:r>
      <w:r w:rsidR="00CA3660">
        <w:rPr>
          <w:lang w:val="es-ES_tradnl"/>
        </w:rPr>
        <w:t xml:space="preserve">Es interés del BCCR obtener estimaciones precisas a nivel nacional, y aceptables por zona urbana y rural para las principales </w:t>
      </w:r>
      <w:r w:rsidR="00D77BA3">
        <w:rPr>
          <w:lang w:val="es-ES_tradnl"/>
        </w:rPr>
        <w:t xml:space="preserve">variables de </w:t>
      </w:r>
      <w:r w:rsidR="00CA3660">
        <w:rPr>
          <w:lang w:val="es-ES_tradnl"/>
        </w:rPr>
        <w:t>empleo, desempleo e ingresos</w:t>
      </w:r>
      <w:r w:rsidR="00D77BA3" w:rsidRPr="002F4C90">
        <w:rPr>
          <w:rStyle w:val="Refdenotaalpie"/>
          <w:vertAlign w:val="superscript"/>
        </w:rPr>
        <w:footnoteReference w:id="3"/>
      </w:r>
      <w:r w:rsidR="00CA3660">
        <w:t xml:space="preserve">. </w:t>
      </w:r>
      <w:r w:rsidRPr="00D81C4C">
        <w:rPr>
          <w:lang w:val="es-ES_tradnl"/>
        </w:rPr>
        <w:t xml:space="preserve">Para estos dominios de estudios se </w:t>
      </w:r>
      <w:r w:rsidR="00CA3660">
        <w:rPr>
          <w:lang w:val="es-ES_tradnl"/>
        </w:rPr>
        <w:t xml:space="preserve">esperan </w:t>
      </w:r>
      <w:r w:rsidR="00D77BA3">
        <w:rPr>
          <w:lang w:val="es-ES_tradnl"/>
        </w:rPr>
        <w:t xml:space="preserve">coeficientes de variación (CV) </w:t>
      </w:r>
      <w:r w:rsidRPr="00D81C4C">
        <w:rPr>
          <w:lang w:val="es-ES_tradnl"/>
        </w:rPr>
        <w:t>menores al 1</w:t>
      </w:r>
      <w:r w:rsidR="00D77BA3">
        <w:rPr>
          <w:lang w:val="es-ES_tradnl"/>
        </w:rPr>
        <w:t>0</w:t>
      </w:r>
      <w:r w:rsidRPr="00D81C4C">
        <w:rPr>
          <w:lang w:val="es-ES_tradnl"/>
        </w:rPr>
        <w:t xml:space="preserve">% para la </w:t>
      </w:r>
      <w:r>
        <w:rPr>
          <w:lang w:val="es-ES_tradnl"/>
        </w:rPr>
        <w:t>tasa de desempleo abierto (</w:t>
      </w:r>
      <w:r w:rsidRPr="00D81C4C">
        <w:rPr>
          <w:lang w:val="es-ES_tradnl"/>
        </w:rPr>
        <w:t>TDA</w:t>
      </w:r>
      <w:r>
        <w:rPr>
          <w:lang w:val="es-ES_tradnl"/>
        </w:rPr>
        <w:t>),</w:t>
      </w:r>
      <w:r w:rsidRPr="00D81C4C">
        <w:rPr>
          <w:lang w:val="es-ES_tradnl"/>
        </w:rPr>
        <w:t xml:space="preserve"> </w:t>
      </w:r>
      <w:r w:rsidR="00E744AC">
        <w:t>sin embargo, para algunas desagregaciones importantes de la población ocupada, como son la clasificación por rama de actividad o sector institucional</w:t>
      </w:r>
      <w:r w:rsidR="00D829FC">
        <w:t>, se</w:t>
      </w:r>
      <w:r w:rsidR="00E744AC">
        <w:t xml:space="preserve"> pueden presentar limitaciones de estimación para algunas </w:t>
      </w:r>
      <w:r w:rsidR="00E744AC">
        <w:lastRenderedPageBreak/>
        <w:t xml:space="preserve">categorías con niveles de precisión no aceptables (CV&gt;15%), y </w:t>
      </w:r>
      <w:r w:rsidR="00D829FC">
        <w:t>que deberán</w:t>
      </w:r>
      <w:r w:rsidR="00E744AC">
        <w:t xml:space="preserve"> tratarse con cautela (</w:t>
      </w:r>
      <w:r w:rsidR="00E744AC" w:rsidRPr="00EE5353">
        <w:rPr>
          <w:color w:val="212BEB"/>
        </w:rPr>
        <w:t xml:space="preserve">Cuadro </w:t>
      </w:r>
      <w:r w:rsidR="00A06173" w:rsidRPr="00EE5353">
        <w:rPr>
          <w:color w:val="212BEB"/>
        </w:rPr>
        <w:t>2</w:t>
      </w:r>
      <w:r w:rsidR="00E744AC">
        <w:t xml:space="preserve">). </w:t>
      </w:r>
    </w:p>
    <w:p w:rsidR="00D90C20" w:rsidRDefault="00D90C20" w:rsidP="00D77BA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rsidR="00E744AC" w:rsidRPr="00A06173" w:rsidRDefault="00E744AC" w:rsidP="002A2865">
      <w:pPr>
        <w:tabs>
          <w:tab w:val="center" w:pos="4680"/>
          <w:tab w:val="left" w:pos="5040"/>
          <w:tab w:val="left" w:pos="5760"/>
          <w:tab w:val="left" w:pos="6480"/>
          <w:tab w:val="left" w:pos="7200"/>
          <w:tab w:val="left" w:pos="7920"/>
          <w:tab w:val="left" w:pos="8640"/>
          <w:tab w:val="left" w:pos="9360"/>
        </w:tabs>
        <w:ind w:left="1843"/>
        <w:rPr>
          <w:b/>
          <w:sz w:val="20"/>
          <w:lang w:val="es-ES_tradnl"/>
        </w:rPr>
      </w:pPr>
      <w:r w:rsidRPr="00A06173">
        <w:rPr>
          <w:b/>
          <w:sz w:val="20"/>
          <w:lang w:val="es-ES_tradnl"/>
        </w:rPr>
        <w:t xml:space="preserve">CUADRO </w:t>
      </w:r>
      <w:r w:rsidR="00A06173">
        <w:rPr>
          <w:b/>
          <w:sz w:val="20"/>
          <w:lang w:val="es-ES_tradnl"/>
        </w:rPr>
        <w:t>2</w:t>
      </w:r>
    </w:p>
    <w:p w:rsidR="00E744AC" w:rsidRPr="00A06173" w:rsidRDefault="00974B1A" w:rsidP="002A2865">
      <w:pPr>
        <w:tabs>
          <w:tab w:val="center" w:pos="4680"/>
          <w:tab w:val="left" w:pos="5040"/>
          <w:tab w:val="left" w:pos="5780"/>
          <w:tab w:val="left" w:pos="6480"/>
          <w:tab w:val="left" w:pos="7200"/>
          <w:tab w:val="left" w:pos="7920"/>
          <w:tab w:val="left" w:pos="8640"/>
          <w:tab w:val="left" w:pos="9360"/>
        </w:tabs>
        <w:ind w:left="1843"/>
        <w:rPr>
          <w:b/>
          <w:sz w:val="20"/>
          <w:lang w:val="es-ES_tradnl"/>
        </w:rPr>
      </w:pPr>
      <w:r>
        <w:rPr>
          <w:b/>
          <w:noProof/>
          <w:sz w:val="20"/>
          <w:lang w:val="es-CR" w:eastAsia="es-CR"/>
        </w:rPr>
        <w:drawing>
          <wp:anchor distT="0" distB="0" distL="114300" distR="114300" simplePos="0" relativeHeight="251658240" behindDoc="0" locked="0" layoutInCell="1" allowOverlap="1">
            <wp:simplePos x="0" y="0"/>
            <wp:positionH relativeFrom="column">
              <wp:posOffset>1224915</wp:posOffset>
            </wp:positionH>
            <wp:positionV relativeFrom="paragraph">
              <wp:posOffset>340995</wp:posOffset>
            </wp:positionV>
            <wp:extent cx="4008755" cy="3415665"/>
            <wp:effectExtent l="0" t="0" r="0" b="0"/>
            <wp:wrapTopAndBottom/>
            <wp:docPr id="5"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8755" cy="3415665"/>
                    </a:xfrm>
                    <a:prstGeom prst="rect">
                      <a:avLst/>
                    </a:prstGeom>
                    <a:noFill/>
                  </pic:spPr>
                </pic:pic>
              </a:graphicData>
            </a:graphic>
            <wp14:sizeRelH relativeFrom="page">
              <wp14:pctWidth>0</wp14:pctWidth>
            </wp14:sizeRelH>
            <wp14:sizeRelV relativeFrom="page">
              <wp14:pctHeight>0</wp14:pctHeight>
            </wp14:sizeRelV>
          </wp:anchor>
        </w:drawing>
      </w:r>
      <w:r w:rsidR="00E744AC" w:rsidRPr="00A06173">
        <w:rPr>
          <w:b/>
          <w:sz w:val="20"/>
          <w:lang w:val="es-ES_tradnl"/>
        </w:rPr>
        <w:t xml:space="preserve">NIVELES DE PRECISIÓN ESPERADOS PARA LOS PRINCIPALES </w:t>
      </w:r>
    </w:p>
    <w:p w:rsidR="00E744AC" w:rsidRPr="00A06173" w:rsidRDefault="00E744AC" w:rsidP="002A2865">
      <w:pPr>
        <w:tabs>
          <w:tab w:val="center" w:pos="4680"/>
          <w:tab w:val="left" w:pos="5040"/>
          <w:tab w:val="left" w:pos="5780"/>
          <w:tab w:val="left" w:pos="6480"/>
          <w:tab w:val="left" w:pos="7200"/>
          <w:tab w:val="left" w:pos="7920"/>
          <w:tab w:val="left" w:pos="8640"/>
          <w:tab w:val="left" w:pos="9360"/>
        </w:tabs>
        <w:ind w:left="1843"/>
        <w:rPr>
          <w:b/>
          <w:sz w:val="20"/>
          <w:lang w:val="es-ES_tradnl"/>
        </w:rPr>
      </w:pPr>
      <w:r w:rsidRPr="00A06173">
        <w:rPr>
          <w:b/>
          <w:sz w:val="20"/>
          <w:lang w:val="es-ES_tradnl"/>
        </w:rPr>
        <w:t>INDICADORES POR DOMINIO DE ESTUDIO.</w:t>
      </w:r>
    </w:p>
    <w:tbl>
      <w:tblPr>
        <w:tblW w:w="2552" w:type="dxa"/>
        <w:tblInd w:w="1843" w:type="dxa"/>
        <w:tblCellMar>
          <w:left w:w="0" w:type="dxa"/>
          <w:right w:w="0" w:type="dxa"/>
        </w:tblCellMar>
        <w:tblLook w:val="0000" w:firstRow="0" w:lastRow="0" w:firstColumn="0" w:lastColumn="0" w:noHBand="0" w:noVBand="0"/>
      </w:tblPr>
      <w:tblGrid>
        <w:gridCol w:w="2568"/>
      </w:tblGrid>
      <w:tr w:rsidR="00E744AC" w:rsidTr="00CB1C27">
        <w:trPr>
          <w:trHeight w:val="330"/>
        </w:trPr>
        <w:tc>
          <w:tcPr>
            <w:tcW w:w="2552" w:type="dxa"/>
            <w:tcBorders>
              <w:top w:val="nil"/>
              <w:left w:val="nil"/>
              <w:bottom w:val="nil"/>
              <w:right w:val="nil"/>
            </w:tcBorders>
            <w:noWrap/>
            <w:vAlign w:val="bottom"/>
          </w:tcPr>
          <w:p w:rsidR="00E744AC" w:rsidRDefault="00E744AC">
            <w:pPr>
              <w:rPr>
                <w:rFonts w:eastAsia="Arial Unicode MS"/>
                <w:b/>
                <w:bCs/>
                <w:sz w:val="16"/>
                <w:szCs w:val="16"/>
              </w:rPr>
            </w:pPr>
            <w:r>
              <w:rPr>
                <w:b/>
                <w:bCs/>
                <w:sz w:val="16"/>
                <w:szCs w:val="16"/>
              </w:rPr>
              <w:t>Si</w:t>
            </w:r>
            <w:r>
              <w:rPr>
                <w:sz w:val="20"/>
                <w:szCs w:val="20"/>
              </w:rPr>
              <w:t xml:space="preserve"> : CV &lt; =10</w:t>
            </w:r>
          </w:p>
        </w:tc>
      </w:tr>
      <w:tr w:rsidR="00E744AC" w:rsidTr="00CB1C27">
        <w:trPr>
          <w:trHeight w:val="330"/>
        </w:trPr>
        <w:tc>
          <w:tcPr>
            <w:tcW w:w="2552" w:type="dxa"/>
            <w:tcBorders>
              <w:top w:val="nil"/>
              <w:left w:val="nil"/>
              <w:bottom w:val="nil"/>
              <w:right w:val="nil"/>
            </w:tcBorders>
            <w:noWrap/>
            <w:vAlign w:val="bottom"/>
          </w:tcPr>
          <w:p w:rsidR="00E744AC" w:rsidRDefault="00E744AC">
            <w:pPr>
              <w:rPr>
                <w:rFonts w:eastAsia="Arial Unicode MS"/>
                <w:b/>
                <w:bCs/>
                <w:sz w:val="16"/>
                <w:szCs w:val="16"/>
              </w:rPr>
            </w:pPr>
            <w:r>
              <w:rPr>
                <w:b/>
                <w:bCs/>
                <w:sz w:val="16"/>
                <w:szCs w:val="16"/>
              </w:rPr>
              <w:t>R</w:t>
            </w:r>
            <w:r>
              <w:rPr>
                <w:sz w:val="20"/>
                <w:szCs w:val="20"/>
              </w:rPr>
              <w:t xml:space="preserve"> :  10 &lt; CV &lt;= 15 </w:t>
            </w:r>
          </w:p>
        </w:tc>
      </w:tr>
      <w:tr w:rsidR="00E744AC" w:rsidTr="00CB1C27">
        <w:trPr>
          <w:trHeight w:val="330"/>
        </w:trPr>
        <w:tc>
          <w:tcPr>
            <w:tcW w:w="2552" w:type="dxa"/>
            <w:tcBorders>
              <w:top w:val="nil"/>
              <w:left w:val="nil"/>
              <w:bottom w:val="nil"/>
              <w:right w:val="nil"/>
            </w:tcBorders>
            <w:noWrap/>
            <w:vAlign w:val="bottom"/>
          </w:tcPr>
          <w:p w:rsidR="00E744AC" w:rsidRDefault="00E744AC">
            <w:pPr>
              <w:rPr>
                <w:rFonts w:eastAsia="Arial Unicode MS"/>
                <w:b/>
                <w:bCs/>
                <w:sz w:val="16"/>
                <w:szCs w:val="16"/>
              </w:rPr>
            </w:pPr>
            <w:r>
              <w:rPr>
                <w:b/>
                <w:bCs/>
                <w:sz w:val="16"/>
                <w:szCs w:val="16"/>
              </w:rPr>
              <w:t>No</w:t>
            </w:r>
            <w:r>
              <w:rPr>
                <w:sz w:val="20"/>
                <w:szCs w:val="20"/>
              </w:rPr>
              <w:t xml:space="preserve"> : CV &gt;15</w:t>
            </w:r>
          </w:p>
        </w:tc>
      </w:tr>
      <w:tr w:rsidR="000B1081" w:rsidTr="00CB1C27">
        <w:trPr>
          <w:trHeight w:val="330"/>
        </w:trPr>
        <w:tc>
          <w:tcPr>
            <w:tcW w:w="2552" w:type="dxa"/>
            <w:tcBorders>
              <w:top w:val="nil"/>
              <w:left w:val="nil"/>
              <w:bottom w:val="nil"/>
              <w:right w:val="nil"/>
            </w:tcBorders>
            <w:noWrap/>
            <w:vAlign w:val="bottom"/>
          </w:tcPr>
          <w:p w:rsidR="000B1081" w:rsidRDefault="000B1081">
            <w:pPr>
              <w:rPr>
                <w:b/>
                <w:bCs/>
                <w:sz w:val="16"/>
                <w:szCs w:val="16"/>
              </w:rPr>
            </w:pPr>
          </w:p>
        </w:tc>
      </w:tr>
    </w:tbl>
    <w:p w:rsidR="00D77BA3" w:rsidRPr="000B1081" w:rsidRDefault="00D829FC" w:rsidP="000B1081">
      <w:pPr>
        <w:pStyle w:val="Ttulo2"/>
        <w:jc w:val="left"/>
        <w:rPr>
          <w:szCs w:val="20"/>
        </w:rPr>
      </w:pPr>
      <w:r w:rsidRPr="000B1081">
        <w:rPr>
          <w:szCs w:val="20"/>
        </w:rPr>
        <w:t>3.2 Estratificación</w:t>
      </w:r>
    </w:p>
    <w:p w:rsidR="00E744AC" w:rsidRDefault="00E744AC">
      <w:pPr>
        <w:jc w:val="both"/>
      </w:pPr>
    </w:p>
    <w:p w:rsidR="00554526" w:rsidRDefault="00554526" w:rsidP="00EB367B">
      <w:pPr>
        <w:jc w:val="both"/>
        <w:rPr>
          <w:lang w:val="es-ES_tradnl"/>
        </w:rPr>
      </w:pPr>
      <w:r>
        <w:rPr>
          <w:lang w:val="es-ES_tradnl"/>
        </w:rPr>
        <w:t xml:space="preserve">Los estratos son subpoblaciones con alguna característica </w:t>
      </w:r>
      <w:r w:rsidR="00D829FC">
        <w:rPr>
          <w:lang w:val="es-ES_tradnl"/>
        </w:rPr>
        <w:t>en común</w:t>
      </w:r>
      <w:r>
        <w:rPr>
          <w:lang w:val="es-ES_tradnl"/>
        </w:rPr>
        <w:t xml:space="preserve"> que se desea estén representadas en la muestra con el objetivo de </w:t>
      </w:r>
      <w:r w:rsidR="00D829FC">
        <w:rPr>
          <w:lang w:val="es-ES_tradnl"/>
        </w:rPr>
        <w:t>incrementar la</w:t>
      </w:r>
      <w:r>
        <w:rPr>
          <w:lang w:val="es-ES_tradnl"/>
        </w:rPr>
        <w:t xml:space="preserve"> precisión general de los estimadores de la encuesta. Los estratos pueden coincidir o no con los dominios de estudio</w:t>
      </w:r>
      <w:r w:rsidR="00D829FC">
        <w:rPr>
          <w:lang w:val="es-ES_tradnl"/>
        </w:rPr>
        <w:t>, y no</w:t>
      </w:r>
      <w:r>
        <w:rPr>
          <w:lang w:val="es-ES_tradnl"/>
        </w:rPr>
        <w:t xml:space="preserve"> necesariamente se requiere niveles de precisión específicos para estas subpoblaciones. </w:t>
      </w:r>
    </w:p>
    <w:p w:rsidR="00554526" w:rsidRDefault="00554526" w:rsidP="00EB367B">
      <w:pPr>
        <w:jc w:val="both"/>
        <w:rPr>
          <w:lang w:val="es-ES_tradnl"/>
        </w:rPr>
      </w:pPr>
    </w:p>
    <w:p w:rsidR="00554526" w:rsidRDefault="00A06173" w:rsidP="00EB367B">
      <w:pPr>
        <w:jc w:val="both"/>
        <w:rPr>
          <w:lang w:val="es-ES_tradnl"/>
        </w:rPr>
      </w:pPr>
      <w:r>
        <w:rPr>
          <w:lang w:val="es-ES_tradnl"/>
        </w:rPr>
        <w:t xml:space="preserve">El MMV-00 se estratificó por región de planificación, zona, y en el caso de la zona urbana de la región </w:t>
      </w:r>
      <w:r w:rsidR="00D829FC">
        <w:rPr>
          <w:lang w:val="es-ES_tradnl"/>
        </w:rPr>
        <w:t>Central se</w:t>
      </w:r>
      <w:r>
        <w:rPr>
          <w:lang w:val="es-ES_tradnl"/>
        </w:rPr>
        <w:t xml:space="preserve"> estratificó por nivel socioeconómico</w:t>
      </w:r>
      <w:r w:rsidR="00770D13" w:rsidRPr="009254BE">
        <w:t xml:space="preserve"> </w:t>
      </w:r>
      <w:r w:rsidR="00770D13">
        <w:t xml:space="preserve">según una estimación </w:t>
      </w:r>
      <w:r w:rsidR="00D829FC">
        <w:t>de los</w:t>
      </w:r>
      <w:r w:rsidR="00770D13">
        <w:t xml:space="preserve"> niveles de ingreso per cápita de los segmentos </w:t>
      </w:r>
      <w:r w:rsidR="003679EA">
        <w:t>[</w:t>
      </w:r>
      <w:hyperlink w:anchor="referencia1" w:history="1">
        <w:r w:rsidR="003679EA" w:rsidRPr="00551551">
          <w:rPr>
            <w:rStyle w:val="Hipervnculo"/>
          </w:rPr>
          <w:t>1</w:t>
        </w:r>
      </w:hyperlink>
      <w:r w:rsidR="003679EA">
        <w:t>]</w:t>
      </w:r>
      <w:r w:rsidR="00770D13">
        <w:t>.</w:t>
      </w:r>
    </w:p>
    <w:p w:rsidR="000B1081" w:rsidRDefault="000B1081" w:rsidP="00EB367B"/>
    <w:p w:rsidR="00E744AC" w:rsidRPr="000B1081" w:rsidRDefault="00F17E7B" w:rsidP="000B1081">
      <w:pPr>
        <w:pStyle w:val="Ttulo2"/>
        <w:jc w:val="left"/>
        <w:rPr>
          <w:szCs w:val="20"/>
        </w:rPr>
      </w:pPr>
      <w:bookmarkStart w:id="7" w:name="_Toc237765367"/>
      <w:r w:rsidRPr="000B1081">
        <w:rPr>
          <w:szCs w:val="20"/>
        </w:rPr>
        <w:t>3.</w:t>
      </w:r>
      <w:r w:rsidR="005D7D3F" w:rsidRPr="000B1081">
        <w:rPr>
          <w:szCs w:val="20"/>
        </w:rPr>
        <w:t>3</w:t>
      </w:r>
      <w:r w:rsidR="00E744AC" w:rsidRPr="000B1081">
        <w:rPr>
          <w:szCs w:val="20"/>
        </w:rPr>
        <w:t xml:space="preserve"> T</w:t>
      </w:r>
      <w:r w:rsidR="00796B64" w:rsidRPr="000B1081">
        <w:rPr>
          <w:szCs w:val="20"/>
        </w:rPr>
        <w:t>amaño de Muestra</w:t>
      </w:r>
      <w:bookmarkEnd w:id="7"/>
    </w:p>
    <w:p w:rsidR="00BC0577" w:rsidRPr="00BC0577" w:rsidRDefault="00BC0577" w:rsidP="00EB367B">
      <w:pPr>
        <w:rPr>
          <w:lang w:val="es-ES_tradnl"/>
        </w:rPr>
      </w:pPr>
    </w:p>
    <w:p w:rsidR="00BC0577" w:rsidRPr="00BC0577" w:rsidRDefault="00BC0577" w:rsidP="00EB367B">
      <w:pPr>
        <w:jc w:val="both"/>
        <w:rPr>
          <w:lang w:val="es-CR"/>
        </w:rPr>
      </w:pPr>
      <w:r w:rsidRPr="00BC0577">
        <w:rPr>
          <w:lang w:val="es-CR"/>
        </w:rPr>
        <w:t xml:space="preserve">Para determinar el tamaño de muestra se tomó en consideración los requerimientos estadísticos del BCCR sobre la </w:t>
      </w:r>
      <w:r w:rsidR="004E2CB3">
        <w:rPr>
          <w:lang w:val="es-CR"/>
        </w:rPr>
        <w:t>ECE</w:t>
      </w:r>
      <w:r>
        <w:rPr>
          <w:lang w:val="es-CR"/>
        </w:rPr>
        <w:t>,</w:t>
      </w:r>
      <w:r w:rsidRPr="00BC0577">
        <w:rPr>
          <w:lang w:val="es-CR"/>
        </w:rPr>
        <w:t xml:space="preserve"> y se definió un grupo de indicadores prioritarios por rama de actividad, sector, categoría y grupo institucional: </w:t>
      </w:r>
    </w:p>
    <w:p w:rsidR="00BC0577" w:rsidRDefault="00BC0577" w:rsidP="00EB367B">
      <w:pPr>
        <w:jc w:val="both"/>
        <w:rPr>
          <w:lang w:val="es-CR"/>
        </w:rPr>
      </w:pPr>
    </w:p>
    <w:p w:rsidR="00995B78" w:rsidRPr="00BC0577" w:rsidRDefault="00995B78" w:rsidP="00EB367B">
      <w:pPr>
        <w:jc w:val="both"/>
        <w:rPr>
          <w:lang w:val="es-CR"/>
        </w:rPr>
      </w:pPr>
    </w:p>
    <w:p w:rsidR="00BC0577" w:rsidRPr="00EB367B" w:rsidRDefault="00BC0577" w:rsidP="00EB367B">
      <w:pPr>
        <w:pStyle w:val="Prrafodelista"/>
        <w:numPr>
          <w:ilvl w:val="0"/>
          <w:numId w:val="23"/>
        </w:numPr>
        <w:jc w:val="both"/>
        <w:rPr>
          <w:lang w:val="es-CR"/>
        </w:rPr>
      </w:pPr>
      <w:r w:rsidRPr="00EB367B">
        <w:rPr>
          <w:lang w:val="es-CR"/>
        </w:rPr>
        <w:t>Total de ocupados</w:t>
      </w:r>
    </w:p>
    <w:p w:rsidR="00BC0577" w:rsidRPr="00EB367B" w:rsidRDefault="00BC0577" w:rsidP="00EB367B">
      <w:pPr>
        <w:pStyle w:val="Prrafodelista"/>
        <w:numPr>
          <w:ilvl w:val="0"/>
          <w:numId w:val="23"/>
        </w:numPr>
        <w:jc w:val="both"/>
        <w:rPr>
          <w:lang w:val="es-CR"/>
        </w:rPr>
      </w:pPr>
      <w:r w:rsidRPr="00EB367B">
        <w:rPr>
          <w:lang w:val="es-CR"/>
        </w:rPr>
        <w:t>Total de Horas Trabajadas</w:t>
      </w:r>
    </w:p>
    <w:p w:rsidR="00BC0577" w:rsidRPr="00EB367B" w:rsidRDefault="00BC0577" w:rsidP="00EB367B">
      <w:pPr>
        <w:pStyle w:val="Prrafodelista"/>
        <w:numPr>
          <w:ilvl w:val="0"/>
          <w:numId w:val="23"/>
        </w:numPr>
        <w:jc w:val="both"/>
        <w:rPr>
          <w:lang w:val="es-CR"/>
        </w:rPr>
      </w:pPr>
      <w:r w:rsidRPr="00EB367B">
        <w:rPr>
          <w:lang w:val="es-CR"/>
        </w:rPr>
        <w:t>Promedio de Horas Trabajadas</w:t>
      </w:r>
    </w:p>
    <w:p w:rsidR="00BC0577" w:rsidRPr="00EB367B" w:rsidRDefault="00BC0577" w:rsidP="00EB367B">
      <w:pPr>
        <w:pStyle w:val="Prrafodelista"/>
        <w:numPr>
          <w:ilvl w:val="0"/>
          <w:numId w:val="23"/>
        </w:numPr>
        <w:jc w:val="both"/>
        <w:rPr>
          <w:lang w:val="es-CR"/>
        </w:rPr>
      </w:pPr>
      <w:r w:rsidRPr="00EB367B">
        <w:rPr>
          <w:lang w:val="es-CR"/>
        </w:rPr>
        <w:t>Total de Puestos de Trabajo</w:t>
      </w:r>
      <w:r w:rsidRPr="00BC0577">
        <w:rPr>
          <w:rStyle w:val="Refdenotaalpie"/>
          <w:color w:val="000000" w:themeColor="text1"/>
          <w:vertAlign w:val="superscript"/>
          <w:lang w:val="es-CR"/>
        </w:rPr>
        <w:footnoteReference w:id="4"/>
      </w:r>
    </w:p>
    <w:p w:rsidR="00BC0577" w:rsidRPr="00EB367B" w:rsidRDefault="00BC0577" w:rsidP="00EB367B">
      <w:pPr>
        <w:pStyle w:val="Prrafodelista"/>
        <w:numPr>
          <w:ilvl w:val="0"/>
          <w:numId w:val="23"/>
        </w:numPr>
        <w:jc w:val="both"/>
        <w:rPr>
          <w:lang w:val="es-CR"/>
        </w:rPr>
      </w:pPr>
      <w:r w:rsidRPr="00EB367B">
        <w:rPr>
          <w:lang w:val="es-CR"/>
        </w:rPr>
        <w:t>Ingreso Promedio Primario</w:t>
      </w:r>
    </w:p>
    <w:p w:rsidR="00BC0577" w:rsidRPr="00BC0577" w:rsidRDefault="00BC0577" w:rsidP="00EB367B">
      <w:pPr>
        <w:jc w:val="both"/>
        <w:rPr>
          <w:lang w:val="es-CR"/>
        </w:rPr>
      </w:pPr>
    </w:p>
    <w:p w:rsidR="00BC0577" w:rsidRPr="00BC0577" w:rsidRDefault="00BC0577" w:rsidP="00EB367B">
      <w:pPr>
        <w:jc w:val="both"/>
        <w:rPr>
          <w:lang w:val="es-CR"/>
        </w:rPr>
      </w:pPr>
      <w:r w:rsidRPr="00BC0577">
        <w:rPr>
          <w:lang w:val="es-CR"/>
        </w:rPr>
        <w:t xml:space="preserve">La precisión estadística para cada uno de estos indicadores se midió con el coeficiente de variación (CV) de acuerdo a los siguientes criterios: </w:t>
      </w:r>
    </w:p>
    <w:p w:rsidR="00BC0577" w:rsidRPr="00BC0577" w:rsidRDefault="00BC0577" w:rsidP="00EB367B">
      <w:pPr>
        <w:jc w:val="both"/>
        <w:rPr>
          <w:lang w:val="es-CR"/>
        </w:rPr>
      </w:pPr>
    </w:p>
    <w:p w:rsidR="00BC0577" w:rsidRPr="00750CEE" w:rsidRDefault="00BC0577" w:rsidP="00750CEE">
      <w:pPr>
        <w:pStyle w:val="Prrafodelista"/>
        <w:numPr>
          <w:ilvl w:val="0"/>
          <w:numId w:val="25"/>
        </w:numPr>
        <w:jc w:val="both"/>
        <w:rPr>
          <w:lang w:val="es-CR"/>
        </w:rPr>
      </w:pPr>
      <w:r w:rsidRPr="00750CEE">
        <w:rPr>
          <w:bCs/>
          <w:lang w:val="es-CR"/>
        </w:rPr>
        <w:t>Aceptable (Si):</w:t>
      </w:r>
      <w:r w:rsidRPr="00750CEE">
        <w:rPr>
          <w:lang w:val="es-CR"/>
        </w:rPr>
        <w:t xml:space="preserve"> estimaciones con CV menores o iguales al 10</w:t>
      </w:r>
      <w:r w:rsidR="00D829FC" w:rsidRPr="00750CEE">
        <w:rPr>
          <w:lang w:val="es-CR"/>
        </w:rPr>
        <w:t>% (</w:t>
      </w:r>
      <w:r w:rsidRPr="00750CEE">
        <w:rPr>
          <w:sz w:val="20"/>
          <w:szCs w:val="20"/>
        </w:rPr>
        <w:t>CV &lt; =10%)</w:t>
      </w:r>
      <w:r w:rsidRPr="00750CEE">
        <w:rPr>
          <w:lang w:val="es-CR"/>
        </w:rPr>
        <w:t>.</w:t>
      </w:r>
    </w:p>
    <w:p w:rsidR="00BC0577" w:rsidRPr="00750CEE" w:rsidRDefault="00BC0577" w:rsidP="00750CEE">
      <w:pPr>
        <w:pStyle w:val="Prrafodelista"/>
        <w:numPr>
          <w:ilvl w:val="0"/>
          <w:numId w:val="25"/>
        </w:numPr>
        <w:jc w:val="both"/>
        <w:rPr>
          <w:sz w:val="20"/>
          <w:szCs w:val="20"/>
        </w:rPr>
      </w:pPr>
      <w:r w:rsidRPr="00750CEE">
        <w:rPr>
          <w:bCs/>
          <w:lang w:val="es-CR"/>
        </w:rPr>
        <w:t>Regular (R):</w:t>
      </w:r>
      <w:r w:rsidRPr="00750CEE">
        <w:rPr>
          <w:lang w:val="es-CR"/>
        </w:rPr>
        <w:t xml:space="preserve"> estimaciones </w:t>
      </w:r>
      <w:r w:rsidR="00D829FC" w:rsidRPr="00750CEE">
        <w:rPr>
          <w:lang w:val="es-CR"/>
        </w:rPr>
        <w:t>con CV</w:t>
      </w:r>
      <w:r w:rsidRPr="00750CEE">
        <w:rPr>
          <w:lang w:val="es-CR"/>
        </w:rPr>
        <w:t xml:space="preserve"> entre un 10 y un 15</w:t>
      </w:r>
      <w:r w:rsidR="00D829FC" w:rsidRPr="00750CEE">
        <w:rPr>
          <w:lang w:val="es-CR"/>
        </w:rPr>
        <w:t>% (</w:t>
      </w:r>
      <w:r w:rsidRPr="00750CEE">
        <w:rPr>
          <w:sz w:val="20"/>
          <w:szCs w:val="20"/>
        </w:rPr>
        <w:t>10% &lt; CV &lt;= 15%).</w:t>
      </w:r>
    </w:p>
    <w:p w:rsidR="00BC0577" w:rsidRPr="00750CEE" w:rsidRDefault="00BC0577" w:rsidP="00750CEE">
      <w:pPr>
        <w:pStyle w:val="Prrafodelista"/>
        <w:numPr>
          <w:ilvl w:val="0"/>
          <w:numId w:val="25"/>
        </w:numPr>
        <w:jc w:val="both"/>
        <w:rPr>
          <w:sz w:val="20"/>
          <w:szCs w:val="20"/>
        </w:rPr>
      </w:pPr>
      <w:r w:rsidRPr="00750CEE">
        <w:rPr>
          <w:bCs/>
          <w:lang w:val="es-CR"/>
        </w:rPr>
        <w:t>No aceptables (No):</w:t>
      </w:r>
      <w:r w:rsidRPr="00750CEE">
        <w:rPr>
          <w:lang w:val="es-CR"/>
        </w:rPr>
        <w:t xml:space="preserve"> estimaciones </w:t>
      </w:r>
      <w:r w:rsidR="00D829FC" w:rsidRPr="00750CEE">
        <w:rPr>
          <w:lang w:val="es-CR"/>
        </w:rPr>
        <w:t>con CV</w:t>
      </w:r>
      <w:r w:rsidRPr="00750CEE">
        <w:rPr>
          <w:lang w:val="es-CR"/>
        </w:rPr>
        <w:t xml:space="preserve"> mayores al 15% </w:t>
      </w:r>
      <w:r w:rsidR="00D829FC" w:rsidRPr="00750CEE">
        <w:rPr>
          <w:lang w:val="es-CR"/>
        </w:rPr>
        <w:t>(</w:t>
      </w:r>
      <w:r w:rsidR="00D829FC" w:rsidRPr="00750CEE">
        <w:rPr>
          <w:sz w:val="20"/>
          <w:szCs w:val="20"/>
        </w:rPr>
        <w:t>CV</w:t>
      </w:r>
      <w:r w:rsidRPr="00750CEE">
        <w:rPr>
          <w:sz w:val="20"/>
          <w:szCs w:val="20"/>
        </w:rPr>
        <w:t xml:space="preserve"> &gt;15%).</w:t>
      </w:r>
    </w:p>
    <w:p w:rsidR="00E744AC" w:rsidRDefault="00E744AC" w:rsidP="00EB367B">
      <w:pPr>
        <w:jc w:val="both"/>
      </w:pPr>
    </w:p>
    <w:p w:rsidR="008665FC" w:rsidRDefault="00F22471" w:rsidP="00EB367B">
      <w:pPr>
        <w:jc w:val="both"/>
      </w:pPr>
      <w:r>
        <w:t>Para determinar los tamaños de muestra por trimestre se realizó una simulación con los turnos de rotación de la EHPM</w:t>
      </w:r>
      <w:r w:rsidR="00BC0577" w:rsidRPr="001A3E0A">
        <w:rPr>
          <w:rStyle w:val="Refdenotaalpie"/>
          <w:vertAlign w:val="superscript"/>
        </w:rPr>
        <w:footnoteReference w:id="5"/>
      </w:r>
      <w:r w:rsidR="00D829FC">
        <w:t>, se</w:t>
      </w:r>
      <w:r>
        <w:t xml:space="preserve"> analiz</w:t>
      </w:r>
      <w:r w:rsidR="00BC0577">
        <w:t xml:space="preserve">aron </w:t>
      </w:r>
      <w:r>
        <w:t xml:space="preserve">los niveles de precisión para </w:t>
      </w:r>
      <w:r w:rsidR="00BC0577">
        <w:t>los indicadores propuestos</w:t>
      </w:r>
      <w:r w:rsidR="002746EF">
        <w:t xml:space="preserve"> para cuatro </w:t>
      </w:r>
      <w:r>
        <w:t xml:space="preserve">tamaños de muestra: 3000, 6000, </w:t>
      </w:r>
      <w:r w:rsidR="002746EF">
        <w:t xml:space="preserve">9000 </w:t>
      </w:r>
      <w:r>
        <w:t xml:space="preserve">y 12000 viviendas, </w:t>
      </w:r>
      <w:r w:rsidR="002746EF">
        <w:t>que equivalen aproximadamente a un 25%, 50%, 75% y 100% de la muestra de la EHPM</w:t>
      </w:r>
      <w:r w:rsidR="008B4A61">
        <w:t xml:space="preserve"> </w:t>
      </w:r>
      <w:r w:rsidR="008665FC">
        <w:t>(</w:t>
      </w:r>
      <w:hyperlink w:anchor="anexo1" w:history="1">
        <w:r w:rsidR="008665FC" w:rsidRPr="00551551">
          <w:rPr>
            <w:rStyle w:val="Hipervnculo"/>
          </w:rPr>
          <w:t>Anexo 1</w:t>
        </w:r>
      </w:hyperlink>
      <w:r w:rsidR="008665FC">
        <w:t>). A</w:t>
      </w:r>
      <w:r w:rsidR="002746EF">
        <w:t xml:space="preserve">demás se </w:t>
      </w:r>
      <w:r w:rsidR="008665FC">
        <w:t xml:space="preserve">evaluaron </w:t>
      </w:r>
      <w:r w:rsidR="002746EF">
        <w:t xml:space="preserve">los </w:t>
      </w:r>
      <w:r w:rsidR="00E744AC">
        <w:t xml:space="preserve">costos estimados </w:t>
      </w:r>
      <w:r w:rsidR="008665FC">
        <w:t xml:space="preserve">y los requerimientos operativos </w:t>
      </w:r>
      <w:r w:rsidR="00E744AC">
        <w:t xml:space="preserve">para </w:t>
      </w:r>
      <w:r w:rsidR="002746EF">
        <w:t xml:space="preserve">los </w:t>
      </w:r>
      <w:r w:rsidR="00E744AC">
        <w:t>diferentes tamaños de muestra</w:t>
      </w:r>
      <w:r w:rsidR="008B4A61">
        <w:t xml:space="preserve">. </w:t>
      </w:r>
    </w:p>
    <w:p w:rsidR="008665FC" w:rsidRDefault="008665FC" w:rsidP="00EB367B">
      <w:pPr>
        <w:jc w:val="both"/>
      </w:pPr>
    </w:p>
    <w:p w:rsidR="00E744AC" w:rsidRDefault="008665FC" w:rsidP="00EB367B">
      <w:pPr>
        <w:jc w:val="both"/>
      </w:pPr>
      <w:r>
        <w:t>De acuerdo a estos resultados</w:t>
      </w:r>
      <w:r w:rsidR="00D829FC">
        <w:t>, tomando</w:t>
      </w:r>
      <w:r>
        <w:t xml:space="preserve"> en </w:t>
      </w:r>
      <w:r w:rsidRPr="00D16DF0">
        <w:t>considera</w:t>
      </w:r>
      <w:r>
        <w:t xml:space="preserve">ción </w:t>
      </w:r>
      <w:r w:rsidRPr="00D16DF0">
        <w:t>l</w:t>
      </w:r>
      <w:r>
        <w:t xml:space="preserve">os objetivos </w:t>
      </w:r>
      <w:r w:rsidRPr="00D16DF0">
        <w:t xml:space="preserve">del </w:t>
      </w:r>
      <w:r w:rsidR="00030FB8" w:rsidRPr="00D16DF0">
        <w:t>BCCR,</w:t>
      </w:r>
      <w:r w:rsidRPr="00D16DF0">
        <w:t xml:space="preserve"> y </w:t>
      </w:r>
      <w:r>
        <w:t xml:space="preserve">la capacidad técnica </w:t>
      </w:r>
      <w:r w:rsidRPr="00D16DF0">
        <w:t xml:space="preserve">del INEC de satisfacer a futuro los requerimientos del banco, se </w:t>
      </w:r>
      <w:r>
        <w:t xml:space="preserve">consideró </w:t>
      </w:r>
      <w:r w:rsidRPr="00D16DF0">
        <w:t xml:space="preserve">que </w:t>
      </w:r>
      <w:r>
        <w:t xml:space="preserve">una muestra de 9000 viviendas era </w:t>
      </w:r>
      <w:r w:rsidRPr="00D16DF0">
        <w:t>recomendable desde el punto de vista de precisión</w:t>
      </w:r>
      <w:r>
        <w:t xml:space="preserve">, costos y capacidad </w:t>
      </w:r>
      <w:r w:rsidRPr="00D16DF0">
        <w:t>operativ</w:t>
      </w:r>
      <w:r>
        <w:t>a</w:t>
      </w:r>
      <w:r w:rsidRPr="00D16DF0">
        <w:t xml:space="preserve">. </w:t>
      </w:r>
      <w:r w:rsidR="00E744AC">
        <w:t xml:space="preserve">De cada segmento censal se seleccionará una muestra de 12 </w:t>
      </w:r>
      <w:r w:rsidR="00D829FC">
        <w:t>viviendas para</w:t>
      </w:r>
      <w:r w:rsidR="00E744AC">
        <w:t xml:space="preserve"> un total de 750 segmentos a nivel nacional.</w:t>
      </w:r>
    </w:p>
    <w:p w:rsidR="00F22471" w:rsidRDefault="00F22471" w:rsidP="00EB367B"/>
    <w:p w:rsidR="00E744AC" w:rsidRPr="00EB367B" w:rsidRDefault="00E744AC" w:rsidP="00EB367B">
      <w:pPr>
        <w:pStyle w:val="Ttulo2"/>
        <w:jc w:val="left"/>
      </w:pPr>
      <w:r w:rsidRPr="00EB367B">
        <w:t xml:space="preserve"> </w:t>
      </w:r>
      <w:bookmarkStart w:id="9" w:name="_Toc237765368"/>
      <w:r w:rsidR="00F17E7B" w:rsidRPr="00EB367B">
        <w:t>3.</w:t>
      </w:r>
      <w:r w:rsidR="005D7D3F" w:rsidRPr="00EB367B">
        <w:t>4</w:t>
      </w:r>
      <w:r w:rsidRPr="00EB367B">
        <w:t xml:space="preserve"> A</w:t>
      </w:r>
      <w:r w:rsidR="00F17E7B" w:rsidRPr="00EB367B">
        <w:t xml:space="preserve">signación </w:t>
      </w:r>
      <w:r w:rsidR="00743977" w:rsidRPr="00EB367B">
        <w:t xml:space="preserve">Geográfica </w:t>
      </w:r>
      <w:r w:rsidR="00F17E7B" w:rsidRPr="00EB367B">
        <w:t>de la Muestra</w:t>
      </w:r>
      <w:bookmarkEnd w:id="9"/>
    </w:p>
    <w:p w:rsidR="00E744AC" w:rsidRPr="00012F5A" w:rsidRDefault="00E744AC" w:rsidP="00EB367B">
      <w:pPr>
        <w:rPr>
          <w:lang w:val="es-CR"/>
        </w:rPr>
      </w:pPr>
    </w:p>
    <w:p w:rsidR="00E744AC" w:rsidRDefault="0049519C" w:rsidP="00862756">
      <w:pPr>
        <w:jc w:val="both"/>
      </w:pPr>
      <w:r>
        <w:t xml:space="preserve">Generalmente se utiliza la TDA como la </w:t>
      </w:r>
      <w:r w:rsidR="00012F5A">
        <w:t xml:space="preserve">variable de diseño </w:t>
      </w:r>
      <w:r>
        <w:t xml:space="preserve">para </w:t>
      </w:r>
      <w:r w:rsidR="00750CEE">
        <w:t xml:space="preserve">calcular el </w:t>
      </w:r>
      <w:r>
        <w:t xml:space="preserve">tamaño y </w:t>
      </w:r>
      <w:r w:rsidR="00750CEE">
        <w:t xml:space="preserve">la </w:t>
      </w:r>
      <w:r>
        <w:t xml:space="preserve">distribución de la muestra. Esta variable </w:t>
      </w:r>
      <w:r w:rsidR="00012F5A">
        <w:t>tiene un comportamiento diferencial por región de planificación y zona,</w:t>
      </w:r>
      <w:r>
        <w:t xml:space="preserve"> y </w:t>
      </w:r>
      <w:r w:rsidR="00E744AC">
        <w:t xml:space="preserve">requiere más muestra en las regiones o zonas donde esta tasa </w:t>
      </w:r>
      <w:r w:rsidR="00D829FC">
        <w:t>sea más</w:t>
      </w:r>
      <w:r w:rsidR="00E744AC">
        <w:t xml:space="preserve"> baja.  Es evidente que utilizar la TDA como criterio para la asignación de la muestra favorecerá en mayor medida a las zonas rurales por la poca frecuencia de esta</w:t>
      </w:r>
      <w:r w:rsidR="00E8713A">
        <w:t xml:space="preserve"> subp</w:t>
      </w:r>
      <w:r w:rsidR="00E744AC">
        <w:t xml:space="preserve">oblación en estas zonas, sin embargo, como el objetivo de la </w:t>
      </w:r>
      <w:r w:rsidR="004E2CB3">
        <w:t>ECE</w:t>
      </w:r>
      <w:r w:rsidR="00E744AC">
        <w:t xml:space="preserve"> es obtener indicadores sobre la fuerza de trabajo más que estimar la tasa o nivel de desocupación, se utiliz</w:t>
      </w:r>
      <w:r>
        <w:t>ó</w:t>
      </w:r>
      <w:r w:rsidR="00E744AC">
        <w:t xml:space="preserve"> la variable número de ocupados en lugar de la TDA para la afijación de la muestra de manera </w:t>
      </w:r>
      <w:r w:rsidR="00750CEE">
        <w:t xml:space="preserve">de tal forma </w:t>
      </w:r>
      <w:r w:rsidR="00E744AC">
        <w:t xml:space="preserve">que se privilegie </w:t>
      </w:r>
      <w:r w:rsidR="00750CEE">
        <w:t xml:space="preserve">más </w:t>
      </w:r>
      <w:r w:rsidR="00E744AC">
        <w:t>las zonas urbanas</w:t>
      </w:r>
      <w:r w:rsidR="00750CEE">
        <w:t xml:space="preserve"> </w:t>
      </w:r>
      <w:r w:rsidR="00E744AC">
        <w:t xml:space="preserve">donde </w:t>
      </w:r>
      <w:r>
        <w:t xml:space="preserve">se </w:t>
      </w:r>
      <w:r w:rsidR="00E744AC">
        <w:t>tiene una mayor concentración de la población ocupada.</w:t>
      </w:r>
    </w:p>
    <w:p w:rsidR="00E744AC" w:rsidRDefault="00E744AC" w:rsidP="00862756">
      <w:pPr>
        <w:jc w:val="both"/>
      </w:pPr>
    </w:p>
    <w:p w:rsidR="00E744AC" w:rsidRDefault="00E744AC" w:rsidP="00862756">
      <w:pPr>
        <w:jc w:val="both"/>
      </w:pPr>
      <w:r>
        <w:t xml:space="preserve">Como la zona urbana y rural se plantean como dominios de estudio la muestra se </w:t>
      </w:r>
      <w:r w:rsidR="0049519C">
        <w:t>distribuyó</w:t>
      </w:r>
      <w:r>
        <w:t xml:space="preserve"> en primer término por zona y posteriormente por región de planificación dentro de cada zona. Para la afijación de la muestra se utilizó la información de la EHPM simulando dos muestras de aproximadamente 9000 viviendas cada una</w:t>
      </w:r>
      <w:r w:rsidR="00D829FC">
        <w:t>, y</w:t>
      </w:r>
      <w:r>
        <w:t xml:space="preserve"> se obtuvo la precisión relativa (CV) para el número </w:t>
      </w:r>
      <w:r>
        <w:lastRenderedPageBreak/>
        <w:t xml:space="preserve">de ocupados por zona y región de planificación. En la distribución de la muestra se consideró tres criterios de asignación diferentes: proporcional, </w:t>
      </w:r>
      <w:proofErr w:type="spellStart"/>
      <w:r>
        <w:t>Neyman</w:t>
      </w:r>
      <w:proofErr w:type="spellEnd"/>
      <w:r>
        <w:t xml:space="preserve"> y de Potencia</w:t>
      </w:r>
      <w:r>
        <w:rPr>
          <w:vertAlign w:val="superscript"/>
        </w:rPr>
        <w:t xml:space="preserve"> </w:t>
      </w:r>
      <w:r>
        <w:t xml:space="preserve">con nivel de </w:t>
      </w:r>
      <w:r>
        <w:rPr>
          <w:rFonts w:ascii="Symbol" w:hAnsi="Symbol"/>
        </w:rPr>
        <w:t></w:t>
      </w:r>
      <w:r>
        <w:t>=0.5</w:t>
      </w:r>
      <w:r w:rsidR="003C0EB8">
        <w:t xml:space="preserve"> </w:t>
      </w:r>
      <w:r w:rsidR="00EE5353">
        <w:t>[</w:t>
      </w:r>
      <w:hyperlink w:anchor="referencia2" w:history="1">
        <w:r w:rsidR="00EE5353" w:rsidRPr="00551551">
          <w:rPr>
            <w:rStyle w:val="Hipervnculo"/>
          </w:rPr>
          <w:t>2</w:t>
        </w:r>
      </w:hyperlink>
      <w:r w:rsidR="00EE5353">
        <w:t>]</w:t>
      </w:r>
      <w:r>
        <w:t>.</w:t>
      </w:r>
    </w:p>
    <w:p w:rsidR="00E744AC" w:rsidRDefault="00E744AC" w:rsidP="00862756">
      <w:pPr>
        <w:jc w:val="both"/>
      </w:pPr>
    </w:p>
    <w:p w:rsidR="00E744AC" w:rsidRDefault="00E744AC" w:rsidP="00862756">
      <w:pPr>
        <w:jc w:val="both"/>
      </w:pPr>
      <w:r>
        <w:t>Proporcional:</w:t>
      </w:r>
      <w:r>
        <w:tab/>
      </w:r>
      <w:r>
        <w:tab/>
      </w:r>
      <w:r w:rsidRPr="0064157D">
        <w:rPr>
          <w:position w:val="-32"/>
        </w:rPr>
        <w:object w:dxaOrig="150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7pt;height:36pt" o:ole="">
            <v:imagedata r:id="rId12" o:title=""/>
          </v:shape>
          <o:OLEObject Type="Embed" ProgID="Equation.3" ShapeID="_x0000_i1025" DrawAspect="Content" ObjectID="_1476529097" r:id="rId13"/>
        </w:object>
      </w:r>
    </w:p>
    <w:p w:rsidR="00E744AC" w:rsidRDefault="00E744AC" w:rsidP="00862756">
      <w:pPr>
        <w:jc w:val="both"/>
      </w:pPr>
    </w:p>
    <w:p w:rsidR="00E744AC" w:rsidRDefault="00030FB8" w:rsidP="00862756">
      <w:pPr>
        <w:jc w:val="both"/>
      </w:pPr>
      <w:proofErr w:type="spellStart"/>
      <w:r>
        <w:t>Neyman</w:t>
      </w:r>
      <w:proofErr w:type="spellEnd"/>
      <w:r>
        <w:t>:</w:t>
      </w:r>
      <w:r w:rsidR="00E744AC">
        <w:tab/>
      </w:r>
      <w:r w:rsidR="00E744AC">
        <w:tab/>
      </w:r>
      <w:r w:rsidR="00E744AC" w:rsidRPr="0064157D">
        <w:rPr>
          <w:position w:val="-32"/>
        </w:rPr>
        <w:object w:dxaOrig="1740" w:dyaOrig="740">
          <v:shape id="_x0000_i1026" type="#_x0000_t75" style="width:86.9pt;height:36.7pt" o:ole="">
            <v:imagedata r:id="rId14" o:title=""/>
          </v:shape>
          <o:OLEObject Type="Embed" ProgID="Equation.3" ShapeID="_x0000_i1026" DrawAspect="Content" ObjectID="_1476529098" r:id="rId15"/>
        </w:object>
      </w:r>
    </w:p>
    <w:p w:rsidR="00E744AC" w:rsidRDefault="00E744AC" w:rsidP="00862756">
      <w:pPr>
        <w:jc w:val="both"/>
      </w:pPr>
    </w:p>
    <w:p w:rsidR="00E744AC" w:rsidRDefault="00E744AC" w:rsidP="00862756">
      <w:pPr>
        <w:jc w:val="both"/>
      </w:pPr>
      <w:r>
        <w:t xml:space="preserve">Potencia: </w:t>
      </w:r>
      <w:r>
        <w:tab/>
      </w:r>
      <w:r>
        <w:tab/>
      </w:r>
      <w:r w:rsidRPr="0064157D">
        <w:rPr>
          <w:position w:val="-34"/>
        </w:rPr>
        <w:object w:dxaOrig="1800" w:dyaOrig="760">
          <v:shape id="_x0000_i1027" type="#_x0000_t75" style="width:90.35pt;height:38.7pt" o:ole="">
            <v:imagedata r:id="rId16" o:title=""/>
          </v:shape>
          <o:OLEObject Type="Embed" ProgID="Equation.3" ShapeID="_x0000_i1027" DrawAspect="Content" ObjectID="_1476529099" r:id="rId17"/>
        </w:object>
      </w:r>
      <w:r>
        <w:tab/>
      </w:r>
      <w:r>
        <w:tab/>
      </w:r>
      <w:r>
        <w:tab/>
      </w:r>
      <w:r>
        <w:rPr>
          <w:rFonts w:ascii="Symbol" w:hAnsi="Symbol"/>
        </w:rPr>
        <w:t></w:t>
      </w:r>
      <w:r>
        <w:t>=0.5</w:t>
      </w:r>
    </w:p>
    <w:p w:rsidR="00E744AC" w:rsidRDefault="00E744AC" w:rsidP="00862756">
      <w:pPr>
        <w:jc w:val="both"/>
      </w:pPr>
    </w:p>
    <w:p w:rsidR="00E744AC" w:rsidRDefault="00750CEE" w:rsidP="00862756">
      <w:pPr>
        <w:jc w:val="both"/>
      </w:pPr>
      <w:r>
        <w:t>La asignación de Potencia</w:t>
      </w:r>
      <w:r w:rsidR="00E744AC">
        <w:t xml:space="preserve"> mostró una mejor distribución por región de planificación en términos de CV más homogéneos. La asignación de </w:t>
      </w:r>
      <w:r>
        <w:t>P</w:t>
      </w:r>
      <w:r w:rsidR="00E744AC">
        <w:t xml:space="preserve">otencia asigna cerca de un 55% de la muestra a la zona urbana con CV menores al 15% por región dentro de cada zona, mientras que la asignación de </w:t>
      </w:r>
      <w:proofErr w:type="spellStart"/>
      <w:r w:rsidR="00E744AC">
        <w:t>Neyman</w:t>
      </w:r>
      <w:proofErr w:type="spellEnd"/>
      <w:r w:rsidR="00E744AC">
        <w:t xml:space="preserve"> privilegia considerablemente a la zona </w:t>
      </w:r>
      <w:r w:rsidR="00D829FC">
        <w:t>urbana con</w:t>
      </w:r>
      <w:r w:rsidR="00E744AC">
        <w:t xml:space="preserve"> un 71% de las viviendas pero con CV mayores al 15</w:t>
      </w:r>
      <w:r w:rsidR="00D829FC">
        <w:t>% para</w:t>
      </w:r>
      <w:r w:rsidR="00E744AC">
        <w:t xml:space="preserve"> el resto de las regiones fuera de la región Central (</w:t>
      </w:r>
      <w:r w:rsidR="00E744AC" w:rsidRPr="00D8442F">
        <w:rPr>
          <w:color w:val="212BEB"/>
        </w:rPr>
        <w:t xml:space="preserve">Cuadro </w:t>
      </w:r>
      <w:r w:rsidR="00075FBB" w:rsidRPr="00D8442F">
        <w:rPr>
          <w:color w:val="212BEB"/>
        </w:rPr>
        <w:t>3</w:t>
      </w:r>
      <w:r w:rsidR="00E744AC">
        <w:t xml:space="preserve">). </w:t>
      </w:r>
    </w:p>
    <w:p w:rsidR="006A151B" w:rsidRDefault="006A151B">
      <w:pPr>
        <w:autoSpaceDE w:val="0"/>
        <w:autoSpaceDN w:val="0"/>
        <w:adjustRightInd w:val="0"/>
        <w:jc w:val="both"/>
        <w:rPr>
          <w:szCs w:val="22"/>
        </w:rPr>
      </w:pPr>
    </w:p>
    <w:p w:rsidR="00E744AC" w:rsidRPr="005D7D3F" w:rsidRDefault="00E744AC" w:rsidP="002A2865">
      <w:pPr>
        <w:tabs>
          <w:tab w:val="center" w:pos="4680"/>
          <w:tab w:val="left" w:pos="5040"/>
          <w:tab w:val="left" w:pos="5760"/>
          <w:tab w:val="left" w:pos="6480"/>
          <w:tab w:val="left" w:pos="7200"/>
          <w:tab w:val="left" w:pos="7920"/>
          <w:tab w:val="left" w:pos="8640"/>
          <w:tab w:val="left" w:pos="9360"/>
        </w:tabs>
        <w:rPr>
          <w:b/>
          <w:sz w:val="20"/>
          <w:lang w:val="es-ES_tradnl"/>
        </w:rPr>
      </w:pPr>
      <w:r w:rsidRPr="005D7D3F">
        <w:rPr>
          <w:b/>
          <w:sz w:val="20"/>
          <w:lang w:val="es-ES_tradnl"/>
        </w:rPr>
        <w:t xml:space="preserve">CUADRO </w:t>
      </w:r>
      <w:r w:rsidR="00075FBB" w:rsidRPr="005D7D3F">
        <w:rPr>
          <w:b/>
          <w:sz w:val="20"/>
          <w:lang w:val="es-ES_tradnl"/>
        </w:rPr>
        <w:t>3</w:t>
      </w:r>
    </w:p>
    <w:p w:rsidR="00E744AC" w:rsidRPr="005D7D3F" w:rsidRDefault="00E744AC" w:rsidP="002A2865">
      <w:pPr>
        <w:tabs>
          <w:tab w:val="center" w:pos="4680"/>
          <w:tab w:val="left" w:pos="5040"/>
          <w:tab w:val="left" w:pos="5780"/>
          <w:tab w:val="left" w:pos="6480"/>
          <w:tab w:val="left" w:pos="7200"/>
          <w:tab w:val="left" w:pos="7920"/>
          <w:tab w:val="left" w:pos="8640"/>
          <w:tab w:val="left" w:pos="9360"/>
        </w:tabs>
        <w:rPr>
          <w:b/>
          <w:sz w:val="20"/>
          <w:lang w:val="es-ES_tradnl"/>
        </w:rPr>
      </w:pPr>
      <w:r w:rsidRPr="005D7D3F">
        <w:rPr>
          <w:b/>
          <w:sz w:val="20"/>
          <w:lang w:val="es-ES_tradnl"/>
        </w:rPr>
        <w:t>DISTRIBUCIÓN DE LA MUESTRA POR CRITERIO DE AFIJACIÓN Y NIVELES DE PRECISIÓN ESPERADOS PARA LOS PRINCIPALES INDICADORES POR ZONA Y REGIÓN.</w:t>
      </w:r>
    </w:p>
    <w:p w:rsidR="0041000A" w:rsidRDefault="00974B1A" w:rsidP="00503521">
      <w:pPr>
        <w:autoSpaceDE w:val="0"/>
        <w:autoSpaceDN w:val="0"/>
        <w:adjustRightInd w:val="0"/>
        <w:jc w:val="both"/>
      </w:pPr>
      <w:r>
        <w:rPr>
          <w:noProof/>
          <w:lang w:val="es-CR" w:eastAsia="es-CR"/>
        </w:rPr>
        <w:drawing>
          <wp:anchor distT="0" distB="0" distL="114300" distR="114300" simplePos="0" relativeHeight="251656192" behindDoc="0" locked="0" layoutInCell="1" allowOverlap="1">
            <wp:simplePos x="0" y="0"/>
            <wp:positionH relativeFrom="column">
              <wp:posOffset>12065</wp:posOffset>
            </wp:positionH>
            <wp:positionV relativeFrom="paragraph">
              <wp:posOffset>33655</wp:posOffset>
            </wp:positionV>
            <wp:extent cx="5984875" cy="2880995"/>
            <wp:effectExtent l="0" t="0" r="0" b="0"/>
            <wp:wrapTopAndBottom/>
            <wp:docPr id="4"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84875" cy="2880995"/>
                    </a:xfrm>
                    <a:prstGeom prst="rect">
                      <a:avLst/>
                    </a:prstGeom>
                    <a:noFill/>
                  </pic:spPr>
                </pic:pic>
              </a:graphicData>
            </a:graphic>
            <wp14:sizeRelH relativeFrom="page">
              <wp14:pctWidth>0</wp14:pctWidth>
            </wp14:sizeRelH>
            <wp14:sizeRelV relativeFrom="page">
              <wp14:pctHeight>0</wp14:pctHeight>
            </wp14:sizeRelV>
          </wp:anchor>
        </w:drawing>
      </w:r>
    </w:p>
    <w:p w:rsidR="00503521" w:rsidRDefault="00503521" w:rsidP="00862756">
      <w:pPr>
        <w:jc w:val="both"/>
      </w:pPr>
    </w:p>
    <w:p w:rsidR="00E744AC" w:rsidRDefault="00E744AC" w:rsidP="00862756">
      <w:pPr>
        <w:jc w:val="both"/>
      </w:pPr>
      <w:r>
        <w:t xml:space="preserve">Con el fin de garantizar niveles de precisión aceptables para otros indicadores importantes, se analizó la distribución de la muestra para otras variables como son la TDA, el número de desocupados, el número de puestos de trabajo y el ingreso per cápita. De todas las distribuciones resultantes por criterio de afijación, el criterio de potencia presenta una mejor distribución en términos de CV más homogéneos </w:t>
      </w:r>
      <w:r w:rsidR="008D7CCF">
        <w:rPr>
          <w:color w:val="000000"/>
        </w:rPr>
        <w:t>(</w:t>
      </w:r>
      <w:hyperlink w:anchor="anexo2" w:history="1">
        <w:r w:rsidR="008D7CCF" w:rsidRPr="00551551">
          <w:rPr>
            <w:rStyle w:val="Hipervnculo"/>
          </w:rPr>
          <w:t>Anexo 2</w:t>
        </w:r>
      </w:hyperlink>
      <w:r w:rsidR="008D7CCF">
        <w:rPr>
          <w:color w:val="000000"/>
        </w:rPr>
        <w:t>)</w:t>
      </w:r>
      <w:r>
        <w:t xml:space="preserve">. </w:t>
      </w:r>
    </w:p>
    <w:p w:rsidR="008E4196" w:rsidRPr="00862756" w:rsidRDefault="008E4196" w:rsidP="00862756">
      <w:pPr>
        <w:pStyle w:val="Ttulo2"/>
        <w:jc w:val="left"/>
      </w:pPr>
      <w:bookmarkStart w:id="10" w:name="_Toc237765369"/>
      <w:r w:rsidRPr="00862756">
        <w:lastRenderedPageBreak/>
        <w:t>3.5 Esquema de Rotación</w:t>
      </w:r>
      <w:bookmarkEnd w:id="10"/>
    </w:p>
    <w:p w:rsidR="008E4196" w:rsidRDefault="008E4196" w:rsidP="008E4196">
      <w:pPr>
        <w:rPr>
          <w:lang w:val="es-CR"/>
        </w:rPr>
      </w:pPr>
    </w:p>
    <w:p w:rsidR="008E4196" w:rsidRDefault="008E4196" w:rsidP="00862756">
      <w:pPr>
        <w:jc w:val="both"/>
        <w:rPr>
          <w:lang w:val="es-CR"/>
        </w:rPr>
      </w:pPr>
      <w:r>
        <w:rPr>
          <w:lang w:val="es-CR"/>
        </w:rPr>
        <w:t xml:space="preserve">Un esquema de rotación consiste en la división de la muestra con el objetivo de ir renovando una parte de la muestra de </w:t>
      </w:r>
      <w:r w:rsidR="0041000A">
        <w:rPr>
          <w:lang w:val="es-CR"/>
        </w:rPr>
        <w:t xml:space="preserve">viviendas de </w:t>
      </w:r>
      <w:r>
        <w:rPr>
          <w:lang w:val="es-CR"/>
        </w:rPr>
        <w:t xml:space="preserve">una encuesta a otra. Tradicionalmente el interés en </w:t>
      </w:r>
      <w:r w:rsidR="00D829FC">
        <w:rPr>
          <w:lang w:val="es-CR"/>
        </w:rPr>
        <w:t>este proceso</w:t>
      </w:r>
      <w:r>
        <w:rPr>
          <w:lang w:val="es-CR"/>
        </w:rPr>
        <w:t xml:space="preserve"> ha sido el disminuir el cansancio de los entrevistados, y por consiguiente disminuir los posibles rechazos que se presenten por este motivo. </w:t>
      </w:r>
    </w:p>
    <w:p w:rsidR="004A1B9C" w:rsidRDefault="004A1B9C" w:rsidP="00862756">
      <w:pPr>
        <w:jc w:val="both"/>
        <w:rPr>
          <w:b/>
          <w:bCs/>
          <w:color w:val="000000"/>
          <w:szCs w:val="22"/>
        </w:rPr>
      </w:pPr>
    </w:p>
    <w:p w:rsidR="00CE0381" w:rsidRDefault="00870E42" w:rsidP="00862756">
      <w:pPr>
        <w:jc w:val="both"/>
        <w:rPr>
          <w:lang w:val="es-CR"/>
        </w:rPr>
      </w:pPr>
      <w:r>
        <w:rPr>
          <w:color w:val="000000"/>
          <w:lang w:val="es-CR"/>
        </w:rPr>
        <w:t xml:space="preserve">Los esquemas de rotación se utilizan </w:t>
      </w:r>
      <w:r w:rsidR="009A653B">
        <w:rPr>
          <w:color w:val="000000"/>
          <w:lang w:val="es-CR"/>
        </w:rPr>
        <w:t xml:space="preserve">también </w:t>
      </w:r>
      <w:r>
        <w:rPr>
          <w:color w:val="000000"/>
          <w:lang w:val="es-CR"/>
        </w:rPr>
        <w:t xml:space="preserve">en encuestas tipo panel cuando hay interés de estimar los cambios entre periodos de encuestas. </w:t>
      </w:r>
      <w:r w:rsidR="00CE0381">
        <w:rPr>
          <w:lang w:val="es-CR"/>
        </w:rPr>
        <w:t>En años recientes, el INEC le ha dado un mayor uso a estos grupos o paneles de rotación para análisis longitudinales sobre la evolución del empleo y el desempleo, y el impacto de las políticas sociales y económicas en las condiciones de vida de los hogares y las personas.</w:t>
      </w:r>
    </w:p>
    <w:p w:rsidR="00870E42" w:rsidRDefault="00870E42" w:rsidP="00862756">
      <w:pPr>
        <w:jc w:val="both"/>
        <w:rPr>
          <w:lang w:val="es-CR"/>
        </w:rPr>
      </w:pPr>
    </w:p>
    <w:p w:rsidR="008E4196" w:rsidRDefault="0041000A" w:rsidP="00862756">
      <w:pPr>
        <w:jc w:val="both"/>
        <w:rPr>
          <w:color w:val="000000"/>
          <w:lang w:val="es-CR"/>
        </w:rPr>
      </w:pPr>
      <w:r>
        <w:rPr>
          <w:color w:val="000000"/>
          <w:lang w:val="es-CR"/>
        </w:rPr>
        <w:t>E</w:t>
      </w:r>
      <w:r w:rsidR="008E4196">
        <w:rPr>
          <w:color w:val="000000"/>
          <w:lang w:val="es-CR"/>
        </w:rPr>
        <w:t>n cada período de encuesta habrá una fracción de viviendas que se repiten y otra fracción de vivienda</w:t>
      </w:r>
      <w:r>
        <w:rPr>
          <w:color w:val="000000"/>
          <w:lang w:val="es-CR"/>
        </w:rPr>
        <w:t>s</w:t>
      </w:r>
      <w:r w:rsidR="008E4196">
        <w:rPr>
          <w:color w:val="000000"/>
          <w:lang w:val="es-CR"/>
        </w:rPr>
        <w:t xml:space="preserve"> que ingresan por primera vez sustituyendo a una fracción similar que sale de la encuesta. El esquema de rotación que se utilice afectará la precisión en los estimadores de cambio en los estudios de panel, en este tipo de mediciones la ganancia en precisión de las muestras traslapadas es directamente proporcional al porcentaje de traslape debido que el efecto de correlación es </w:t>
      </w:r>
      <w:r w:rsidR="00D829FC">
        <w:rPr>
          <w:color w:val="000000"/>
          <w:lang w:val="es-CR"/>
        </w:rPr>
        <w:t>mayor [</w:t>
      </w:r>
      <w:hyperlink w:anchor="referencia3" w:history="1">
        <w:r w:rsidR="00FF5E0D" w:rsidRPr="00551551">
          <w:rPr>
            <w:rStyle w:val="Hipervnculo"/>
            <w:lang w:val="es-CR"/>
          </w:rPr>
          <w:t>3</w:t>
        </w:r>
      </w:hyperlink>
      <w:r w:rsidR="00FF5E0D">
        <w:rPr>
          <w:color w:val="000000"/>
          <w:lang w:val="es-CR"/>
        </w:rPr>
        <w:t>]</w:t>
      </w:r>
      <w:r w:rsidR="008E4196">
        <w:rPr>
          <w:color w:val="000000"/>
          <w:lang w:val="es-CR"/>
        </w:rPr>
        <w:t>. Por ejemplo, en el caso de que se desee estimar el cambio de una proporción en dos encuestas consecutivas se tiene:</w:t>
      </w:r>
    </w:p>
    <w:p w:rsidR="008E4196" w:rsidRDefault="008E4196" w:rsidP="00862756">
      <w:pPr>
        <w:jc w:val="both"/>
        <w:rPr>
          <w:color w:val="000000"/>
          <w:lang w:val="es-CR"/>
        </w:rPr>
      </w:pPr>
    </w:p>
    <w:p w:rsidR="008E4196" w:rsidRDefault="008E4196" w:rsidP="00862756">
      <w:pPr>
        <w:rPr>
          <w:lang w:val="es-CR"/>
        </w:rPr>
      </w:pPr>
      <w:r w:rsidRPr="0064157D">
        <w:rPr>
          <w:lang w:val="es-CR"/>
        </w:rPr>
        <w:object w:dxaOrig="1280" w:dyaOrig="360">
          <v:shape id="_x0000_i1028" type="#_x0000_t75" style="width:81.45pt;height:22.4pt" o:ole="">
            <v:imagedata r:id="rId19" o:title=""/>
          </v:shape>
          <o:OLEObject Type="Embed" ProgID="Equation.3" ShapeID="_x0000_i1028" DrawAspect="Content" ObjectID="_1476529100" r:id="rId20"/>
        </w:object>
      </w:r>
    </w:p>
    <w:p w:rsidR="008E4196" w:rsidRDefault="008E4196" w:rsidP="00862756">
      <w:pPr>
        <w:rPr>
          <w:lang w:val="es-CR"/>
        </w:rPr>
      </w:pPr>
    </w:p>
    <w:p w:rsidR="008E4196" w:rsidRDefault="008E4196" w:rsidP="00862756">
      <w:pPr>
        <w:rPr>
          <w:lang w:val="es-CR"/>
        </w:rPr>
      </w:pPr>
      <w:r w:rsidRPr="0064157D">
        <w:rPr>
          <w:position w:val="-14"/>
          <w:lang w:val="es-CR"/>
        </w:rPr>
        <w:object w:dxaOrig="3480" w:dyaOrig="400">
          <v:shape id="_x0000_i1029" type="#_x0000_t75" style="width:198.35pt;height:23.75pt" o:ole="">
            <v:imagedata r:id="rId21" o:title=""/>
          </v:shape>
          <o:OLEObject Type="Embed" ProgID="Equation.3" ShapeID="_x0000_i1029" DrawAspect="Content" ObjectID="_1476529101" r:id="rId22"/>
        </w:object>
      </w:r>
    </w:p>
    <w:p w:rsidR="008E4196" w:rsidRDefault="008E4196" w:rsidP="00862756">
      <w:pPr>
        <w:rPr>
          <w:lang w:val="es-CR"/>
        </w:rPr>
      </w:pPr>
    </w:p>
    <w:p w:rsidR="008E4196" w:rsidRDefault="008E4196" w:rsidP="00862756">
      <w:pPr>
        <w:rPr>
          <w:lang w:val="es-CR"/>
        </w:rPr>
      </w:pPr>
      <w:r w:rsidRPr="0064157D">
        <w:rPr>
          <w:position w:val="-14"/>
          <w:lang w:val="es-CR"/>
        </w:rPr>
        <w:object w:dxaOrig="4840" w:dyaOrig="400">
          <v:shape id="_x0000_i1030" type="#_x0000_t75" style="width:275.15pt;height:23.75pt" o:ole="">
            <v:imagedata r:id="rId23" o:title=""/>
          </v:shape>
          <o:OLEObject Type="Embed" ProgID="Equation.3" ShapeID="_x0000_i1030" DrawAspect="Content" ObjectID="_1476529102" r:id="rId24"/>
        </w:object>
      </w:r>
    </w:p>
    <w:p w:rsidR="008E4196" w:rsidRDefault="008E4196" w:rsidP="00862756">
      <w:pPr>
        <w:rPr>
          <w:lang w:val="es-CR"/>
        </w:rPr>
      </w:pPr>
    </w:p>
    <w:p w:rsidR="008E4196" w:rsidRDefault="008E4196" w:rsidP="00862756">
      <w:pPr>
        <w:rPr>
          <w:lang w:val="es-CR"/>
        </w:rPr>
      </w:pPr>
      <w:proofErr w:type="gramStart"/>
      <w:r>
        <w:rPr>
          <w:lang w:val="es-CR"/>
        </w:rPr>
        <w:t>si</w:t>
      </w:r>
      <w:proofErr w:type="gramEnd"/>
      <w:r>
        <w:rPr>
          <w:lang w:val="es-CR"/>
        </w:rPr>
        <w:t xml:space="preserve"> </w:t>
      </w:r>
      <w:r w:rsidR="00ED4176">
        <w:rPr>
          <w:lang w:val="es-CR"/>
        </w:rPr>
        <w:tab/>
      </w:r>
      <w:r w:rsidRPr="0064157D">
        <w:rPr>
          <w:position w:val="-14"/>
          <w:lang w:val="es-CR"/>
        </w:rPr>
        <w:object w:dxaOrig="1560" w:dyaOrig="400">
          <v:shape id="_x0000_i1031" type="#_x0000_t75" style="width:87.6pt;height:22.4pt" o:ole="">
            <v:imagedata r:id="rId25" o:title=""/>
          </v:shape>
          <o:OLEObject Type="Embed" ProgID="Equation.3" ShapeID="_x0000_i1031" DrawAspect="Content" ObjectID="_1476529103" r:id="rId26"/>
        </w:object>
      </w:r>
    </w:p>
    <w:p w:rsidR="008E4196" w:rsidRDefault="008E4196" w:rsidP="00862756">
      <w:pPr>
        <w:rPr>
          <w:lang w:val="es-CR"/>
        </w:rPr>
      </w:pPr>
    </w:p>
    <w:p w:rsidR="008E4196" w:rsidRDefault="008E4196" w:rsidP="00862756">
      <w:pPr>
        <w:rPr>
          <w:lang w:val="es-CR"/>
        </w:rPr>
      </w:pPr>
      <w:r w:rsidRPr="0064157D">
        <w:rPr>
          <w:position w:val="-14"/>
          <w:lang w:val="es-CR"/>
        </w:rPr>
        <w:object w:dxaOrig="2100" w:dyaOrig="400">
          <v:shape id="_x0000_i1032" type="#_x0000_t75" style="width:118.85pt;height:23.75pt" o:ole="">
            <v:imagedata r:id="rId27" o:title=""/>
          </v:shape>
          <o:OLEObject Type="Embed" ProgID="Equation.3" ShapeID="_x0000_i1032" DrawAspect="Content" ObjectID="_1476529104" r:id="rId28"/>
        </w:object>
      </w:r>
    </w:p>
    <w:p w:rsidR="008E4196" w:rsidRDefault="008E4196" w:rsidP="008E4196">
      <w:pPr>
        <w:autoSpaceDE w:val="0"/>
        <w:autoSpaceDN w:val="0"/>
        <w:adjustRightInd w:val="0"/>
        <w:jc w:val="both"/>
        <w:rPr>
          <w:color w:val="000000"/>
          <w:lang w:val="es-CR"/>
        </w:rPr>
      </w:pPr>
    </w:p>
    <w:p w:rsidR="008E4196" w:rsidRDefault="008E4196" w:rsidP="00862756">
      <w:pPr>
        <w:jc w:val="both"/>
        <w:rPr>
          <w:lang w:val="es-CR"/>
        </w:rPr>
      </w:pPr>
      <w:r>
        <w:rPr>
          <w:lang w:val="es-CR"/>
        </w:rPr>
        <w:t xml:space="preserve">Donde </w:t>
      </w:r>
      <w:r>
        <w:rPr>
          <w:b/>
          <w:bCs/>
          <w:lang w:val="es-CR"/>
        </w:rPr>
        <w:t>d</w:t>
      </w:r>
      <w:r>
        <w:rPr>
          <w:lang w:val="es-CR"/>
        </w:rPr>
        <w:t xml:space="preserve"> es el estimador de cambio entre la proporción estimada (</w:t>
      </w:r>
      <w:r>
        <w:rPr>
          <w:b/>
          <w:bCs/>
          <w:lang w:val="es-CR"/>
        </w:rPr>
        <w:t>p</w:t>
      </w:r>
      <w:r>
        <w:rPr>
          <w:lang w:val="es-CR"/>
        </w:rPr>
        <w:t>)</w:t>
      </w:r>
      <w:r>
        <w:rPr>
          <w:b/>
          <w:bCs/>
          <w:lang w:val="es-CR"/>
        </w:rPr>
        <w:t xml:space="preserve"> </w:t>
      </w:r>
      <w:r>
        <w:rPr>
          <w:lang w:val="es-CR"/>
        </w:rPr>
        <w:t>en el período t y t -1</w:t>
      </w:r>
      <w:r w:rsidR="00D829FC">
        <w:rPr>
          <w:lang w:val="es-CR"/>
        </w:rPr>
        <w:t>, Var</w:t>
      </w:r>
      <w:r w:rsidR="00D829FC">
        <w:rPr>
          <w:b/>
          <w:bCs/>
          <w:lang w:val="es-CR"/>
        </w:rPr>
        <w:t xml:space="preserve"> (</w:t>
      </w:r>
      <w:r>
        <w:rPr>
          <w:b/>
          <w:bCs/>
          <w:lang w:val="es-CR"/>
        </w:rPr>
        <w:t>d)</w:t>
      </w:r>
      <w:r>
        <w:rPr>
          <w:lang w:val="es-CR"/>
        </w:rPr>
        <w:t xml:space="preserve"> es la variancia de ese estimador, </w:t>
      </w:r>
      <w:r w:rsidR="00D829FC">
        <w:rPr>
          <w:b/>
          <w:bCs/>
          <w:lang w:val="es-CR"/>
        </w:rPr>
        <w:t>S</w:t>
      </w:r>
      <w:r w:rsidR="00D829FC">
        <w:rPr>
          <w:b/>
          <w:bCs/>
          <w:vertAlign w:val="superscript"/>
          <w:lang w:val="es-CR"/>
        </w:rPr>
        <w:t>2</w:t>
      </w:r>
      <w:r w:rsidR="00D829FC">
        <w:rPr>
          <w:lang w:val="es-CR"/>
        </w:rPr>
        <w:t xml:space="preserve"> es</w:t>
      </w:r>
      <w:r>
        <w:rPr>
          <w:lang w:val="es-CR"/>
        </w:rPr>
        <w:t xml:space="preserve"> la variancia de la proporción en cada período de encuesta, </w:t>
      </w:r>
      <w:proofErr w:type="spellStart"/>
      <w:r>
        <w:rPr>
          <w:b/>
          <w:bCs/>
          <w:lang w:val="es-CR"/>
        </w:rPr>
        <w:t>cov</w:t>
      </w:r>
      <w:proofErr w:type="spellEnd"/>
      <w:r w:rsidR="00D829FC">
        <w:rPr>
          <w:b/>
          <w:bCs/>
          <w:lang w:val="es-CR"/>
        </w:rPr>
        <w:t xml:space="preserve"> </w:t>
      </w:r>
      <w:r>
        <w:rPr>
          <w:b/>
          <w:bCs/>
          <w:lang w:val="es-CR"/>
        </w:rPr>
        <w:t>(p</w:t>
      </w:r>
      <w:r>
        <w:rPr>
          <w:b/>
          <w:bCs/>
          <w:vertAlign w:val="subscript"/>
          <w:lang w:val="es-CR"/>
        </w:rPr>
        <w:t>t</w:t>
      </w:r>
      <w:proofErr w:type="gramStart"/>
      <w:r>
        <w:rPr>
          <w:b/>
          <w:bCs/>
          <w:lang w:val="es-CR"/>
        </w:rPr>
        <w:t>,p</w:t>
      </w:r>
      <w:r>
        <w:rPr>
          <w:b/>
          <w:bCs/>
          <w:vertAlign w:val="subscript"/>
          <w:lang w:val="es-CR"/>
        </w:rPr>
        <w:t>t</w:t>
      </w:r>
      <w:proofErr w:type="gramEnd"/>
      <w:r>
        <w:rPr>
          <w:b/>
          <w:bCs/>
          <w:vertAlign w:val="subscript"/>
          <w:lang w:val="es-CR"/>
        </w:rPr>
        <w:t>-1</w:t>
      </w:r>
      <w:r>
        <w:rPr>
          <w:b/>
          <w:bCs/>
          <w:lang w:val="es-CR"/>
        </w:rPr>
        <w:t xml:space="preserve">) </w:t>
      </w:r>
      <w:r>
        <w:rPr>
          <w:lang w:val="es-CR"/>
        </w:rPr>
        <w:t xml:space="preserve">es la covariancia en las estimaciones entre encuestas, </w:t>
      </w:r>
      <w:r>
        <w:rPr>
          <w:b/>
          <w:bCs/>
          <w:lang w:val="es-CR"/>
        </w:rPr>
        <w:t>f</w:t>
      </w:r>
      <w:r>
        <w:rPr>
          <w:lang w:val="es-CR"/>
        </w:rPr>
        <w:t xml:space="preserve"> es la fracción de </w:t>
      </w:r>
      <w:proofErr w:type="spellStart"/>
      <w:r>
        <w:rPr>
          <w:lang w:val="es-CR"/>
        </w:rPr>
        <w:t>traslapamiento</w:t>
      </w:r>
      <w:proofErr w:type="spellEnd"/>
      <w:r>
        <w:rPr>
          <w:lang w:val="es-CR"/>
        </w:rPr>
        <w:t xml:space="preserve"> y </w:t>
      </w:r>
      <w:r>
        <w:rPr>
          <w:rFonts w:ascii="Symbol" w:hAnsi="Symbol"/>
          <w:b/>
          <w:bCs/>
          <w:lang w:val="es-CR"/>
        </w:rPr>
        <w:t></w:t>
      </w:r>
      <w:r>
        <w:rPr>
          <w:b/>
          <w:bCs/>
          <w:lang w:val="es-CR"/>
        </w:rPr>
        <w:t xml:space="preserve"> </w:t>
      </w:r>
      <w:r>
        <w:rPr>
          <w:lang w:val="es-CR"/>
        </w:rPr>
        <w:t xml:space="preserve">es el coeficiente de correlación </w:t>
      </w:r>
      <w:proofErr w:type="spellStart"/>
      <w:r>
        <w:rPr>
          <w:lang w:val="es-CR"/>
        </w:rPr>
        <w:t>intraclase</w:t>
      </w:r>
      <w:proofErr w:type="spellEnd"/>
      <w:r>
        <w:rPr>
          <w:lang w:val="es-CR"/>
        </w:rPr>
        <w:t xml:space="preserve">. Se puede apreciar que la variancia para la diferencia de dos encuestas consecutivas es siempre igual a la variancia de una encuesta multiplicada por </w:t>
      </w:r>
      <w:r>
        <w:rPr>
          <w:b/>
          <w:bCs/>
          <w:lang w:val="es-CR"/>
        </w:rPr>
        <w:t>2(1-f</w:t>
      </w:r>
      <w:r>
        <w:rPr>
          <w:rFonts w:ascii="Symbol" w:hAnsi="Symbol"/>
          <w:b/>
          <w:bCs/>
          <w:lang w:val="es-CR"/>
        </w:rPr>
        <w:t></w:t>
      </w:r>
      <w:r>
        <w:rPr>
          <w:b/>
          <w:bCs/>
          <w:lang w:val="es-CR"/>
        </w:rPr>
        <w:t>)</w:t>
      </w:r>
      <w:r w:rsidR="00D829FC">
        <w:rPr>
          <w:lang w:val="es-CR"/>
        </w:rPr>
        <w:t>, entre</w:t>
      </w:r>
      <w:r>
        <w:rPr>
          <w:lang w:val="es-CR"/>
        </w:rPr>
        <w:t xml:space="preserve"> mayor sea </w:t>
      </w:r>
      <w:r>
        <w:rPr>
          <w:b/>
          <w:bCs/>
          <w:lang w:val="es-CR"/>
        </w:rPr>
        <w:t>f</w:t>
      </w:r>
      <w:r>
        <w:rPr>
          <w:lang w:val="es-CR"/>
        </w:rPr>
        <w:t xml:space="preserve"> o </w:t>
      </w:r>
      <w:r>
        <w:rPr>
          <w:rFonts w:ascii="Symbol" w:hAnsi="Symbol"/>
          <w:b/>
          <w:bCs/>
          <w:lang w:val="es-CR"/>
        </w:rPr>
        <w:t></w:t>
      </w:r>
      <w:r>
        <w:rPr>
          <w:rFonts w:ascii="Symbol" w:hAnsi="Symbol"/>
          <w:b/>
          <w:bCs/>
          <w:lang w:val="es-CR"/>
        </w:rPr>
        <w:t></w:t>
      </w:r>
      <w:r>
        <w:rPr>
          <w:lang w:val="es-CR"/>
        </w:rPr>
        <w:t>la precisión del estimador será mayor, en otras palabras</w:t>
      </w:r>
      <w:r w:rsidR="00D829FC">
        <w:rPr>
          <w:lang w:val="es-CR"/>
        </w:rPr>
        <w:t>, Var</w:t>
      </w:r>
      <w:r w:rsidR="00D829FC">
        <w:rPr>
          <w:b/>
          <w:bCs/>
          <w:lang w:val="es-CR"/>
        </w:rPr>
        <w:t xml:space="preserve"> (</w:t>
      </w:r>
      <w:r>
        <w:rPr>
          <w:b/>
          <w:bCs/>
          <w:lang w:val="es-CR"/>
        </w:rPr>
        <w:t>d)</w:t>
      </w:r>
      <w:r>
        <w:rPr>
          <w:lang w:val="es-CR"/>
        </w:rPr>
        <w:t xml:space="preserve"> menor. En el caso extremo si f=0, no hay traslape entre las encuestas, como es el caso de muestras independientes, la </w:t>
      </w:r>
      <w:r w:rsidR="00D829FC">
        <w:rPr>
          <w:b/>
          <w:bCs/>
          <w:lang w:val="es-CR"/>
        </w:rPr>
        <w:t>Var (</w:t>
      </w:r>
      <w:r>
        <w:rPr>
          <w:b/>
          <w:bCs/>
          <w:lang w:val="es-CR"/>
        </w:rPr>
        <w:t xml:space="preserve">d) </w:t>
      </w:r>
      <w:r>
        <w:rPr>
          <w:lang w:val="es-CR"/>
        </w:rPr>
        <w:t xml:space="preserve">será igual a dos veces la variancia de una encuesta. </w:t>
      </w:r>
    </w:p>
    <w:p w:rsidR="008E4196" w:rsidRDefault="008E4196" w:rsidP="00862756">
      <w:pPr>
        <w:jc w:val="both"/>
        <w:rPr>
          <w:lang w:val="es-CR"/>
        </w:rPr>
      </w:pPr>
    </w:p>
    <w:p w:rsidR="008E4196" w:rsidRDefault="008E4196" w:rsidP="00862756">
      <w:pPr>
        <w:jc w:val="both"/>
        <w:rPr>
          <w:lang w:val="es-CR"/>
        </w:rPr>
      </w:pPr>
      <w:r>
        <w:rPr>
          <w:lang w:val="es-CR"/>
        </w:rPr>
        <w:t>Con este razonamiento se analizaron dos porcentajes de traslape, del 50% y 75% por trimestre.  Con un porcentaje del 50% la muestra se agota más rápidamente</w:t>
      </w:r>
      <w:r w:rsidR="00ED4176">
        <w:rPr>
          <w:lang w:val="es-CR"/>
        </w:rPr>
        <w:t xml:space="preserve">, </w:t>
      </w:r>
      <w:r>
        <w:rPr>
          <w:lang w:val="es-CR"/>
        </w:rPr>
        <w:t xml:space="preserve">una vivienda permanecerá en la muestra únicamente dos períodos de encuestas. Con un porcentaje de rotación del 25% una vivienda </w:t>
      </w:r>
      <w:r>
        <w:rPr>
          <w:lang w:val="es-CR"/>
        </w:rPr>
        <w:lastRenderedPageBreak/>
        <w:t xml:space="preserve">permanecerá en la muestra por cuatro encuestas consecutivas, y la correlación </w:t>
      </w:r>
      <w:proofErr w:type="spellStart"/>
      <w:r>
        <w:rPr>
          <w:lang w:val="es-CR"/>
        </w:rPr>
        <w:t>intraclase</w:t>
      </w:r>
      <w:proofErr w:type="spellEnd"/>
      <w:r>
        <w:rPr>
          <w:lang w:val="es-CR"/>
        </w:rPr>
        <w:t xml:space="preserve"> (</w:t>
      </w:r>
      <w:r>
        <w:rPr>
          <w:rFonts w:ascii="Symbol" w:hAnsi="Symbol"/>
          <w:b/>
          <w:bCs/>
          <w:lang w:val="es-CR"/>
        </w:rPr>
        <w:t></w:t>
      </w:r>
      <w:r>
        <w:rPr>
          <w:lang w:val="es-CR"/>
        </w:rPr>
        <w:t xml:space="preserve">) será mucho mayor favoreciendo la precisión de los estimadores de cambio (Esquema 1). </w:t>
      </w:r>
    </w:p>
    <w:p w:rsidR="008E4196" w:rsidRDefault="008E4196" w:rsidP="008E4196">
      <w:pPr>
        <w:autoSpaceDE w:val="0"/>
        <w:autoSpaceDN w:val="0"/>
        <w:adjustRightInd w:val="0"/>
        <w:jc w:val="both"/>
        <w:rPr>
          <w:color w:val="000000"/>
          <w:lang w:val="es-CR"/>
        </w:rPr>
      </w:pPr>
    </w:p>
    <w:p w:rsidR="009A653B" w:rsidRDefault="009A653B" w:rsidP="009A653B">
      <w:pPr>
        <w:tabs>
          <w:tab w:val="left" w:pos="3030"/>
          <w:tab w:val="left" w:pos="4499"/>
          <w:tab w:val="left" w:pos="5780"/>
        </w:tabs>
        <w:rPr>
          <w:b/>
          <w:bCs/>
          <w:sz w:val="20"/>
          <w:szCs w:val="20"/>
        </w:rPr>
      </w:pPr>
      <w:r>
        <w:rPr>
          <w:b/>
          <w:bCs/>
          <w:sz w:val="20"/>
          <w:szCs w:val="20"/>
        </w:rPr>
        <w:t>ESQUEMA 1</w:t>
      </w:r>
    </w:p>
    <w:p w:rsidR="009A653B" w:rsidRDefault="009A653B" w:rsidP="009A653B">
      <w:pPr>
        <w:tabs>
          <w:tab w:val="left" w:pos="3030"/>
          <w:tab w:val="left" w:pos="4499"/>
          <w:tab w:val="left" w:pos="5780"/>
        </w:tabs>
        <w:rPr>
          <w:b/>
          <w:bCs/>
          <w:sz w:val="20"/>
          <w:szCs w:val="20"/>
        </w:rPr>
      </w:pPr>
      <w:r>
        <w:rPr>
          <w:b/>
          <w:bCs/>
          <w:sz w:val="20"/>
          <w:szCs w:val="20"/>
        </w:rPr>
        <w:t>ESQUEMA TRIMESTRAL DE ROTACIÓN DE UN 25% LA MUESTRA DE VIVIENDAS</w:t>
      </w:r>
    </w:p>
    <w:p w:rsidR="009A653B" w:rsidRDefault="009A653B" w:rsidP="009A653B">
      <w:pPr>
        <w:tabs>
          <w:tab w:val="left" w:pos="3030"/>
          <w:tab w:val="left" w:pos="4499"/>
          <w:tab w:val="left" w:pos="5780"/>
        </w:tabs>
        <w:rPr>
          <w:b/>
          <w:bCs/>
          <w:sz w:val="20"/>
          <w:szCs w:val="20"/>
        </w:rPr>
      </w:pPr>
      <w:r>
        <w:rPr>
          <w:b/>
          <w:bCs/>
          <w:sz w:val="20"/>
          <w:szCs w:val="20"/>
        </w:rPr>
        <w:t xml:space="preserve">PARA LOS PRIMEROS </w:t>
      </w:r>
      <w:r w:rsidR="00ED4176">
        <w:rPr>
          <w:b/>
          <w:bCs/>
          <w:sz w:val="20"/>
          <w:szCs w:val="20"/>
        </w:rPr>
        <w:t xml:space="preserve">DOS </w:t>
      </w:r>
      <w:r>
        <w:rPr>
          <w:b/>
          <w:bCs/>
          <w:sz w:val="20"/>
          <w:szCs w:val="20"/>
        </w:rPr>
        <w:t>AÑOS DE ENCUESTA.</w:t>
      </w:r>
    </w:p>
    <w:p w:rsidR="009A653B" w:rsidRDefault="00974B1A" w:rsidP="009A653B">
      <w:pPr>
        <w:tabs>
          <w:tab w:val="left" w:pos="3030"/>
          <w:tab w:val="left" w:pos="4499"/>
          <w:tab w:val="left" w:pos="5780"/>
        </w:tabs>
        <w:rPr>
          <w:b/>
          <w:bCs/>
          <w:sz w:val="20"/>
          <w:szCs w:val="20"/>
        </w:rPr>
      </w:pPr>
      <w:r>
        <w:rPr>
          <w:b/>
          <w:noProof/>
          <w:sz w:val="20"/>
          <w:szCs w:val="20"/>
          <w:lang w:val="es-CR" w:eastAsia="es-CR"/>
        </w:rPr>
        <w:drawing>
          <wp:inline distT="0" distB="0" distL="0" distR="0">
            <wp:extent cx="6210300" cy="2514600"/>
            <wp:effectExtent l="0" t="0" r="0" b="0"/>
            <wp:docPr id="11"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10300" cy="2514600"/>
                    </a:xfrm>
                    <a:prstGeom prst="rect">
                      <a:avLst/>
                    </a:prstGeom>
                    <a:noFill/>
                    <a:ln>
                      <a:noFill/>
                    </a:ln>
                  </pic:spPr>
                </pic:pic>
              </a:graphicData>
            </a:graphic>
          </wp:inline>
        </w:drawing>
      </w:r>
    </w:p>
    <w:p w:rsidR="009A653B" w:rsidRDefault="009A653B" w:rsidP="009A653B">
      <w:pPr>
        <w:autoSpaceDE w:val="0"/>
        <w:autoSpaceDN w:val="0"/>
        <w:adjustRightInd w:val="0"/>
        <w:jc w:val="both"/>
        <w:rPr>
          <w:b/>
          <w:bCs/>
          <w:color w:val="000000"/>
          <w:szCs w:val="22"/>
        </w:rPr>
      </w:pPr>
    </w:p>
    <w:p w:rsidR="009A653B" w:rsidRDefault="009A653B" w:rsidP="00A2567A">
      <w:pPr>
        <w:jc w:val="both"/>
        <w:rPr>
          <w:lang w:val="es-CR"/>
        </w:rPr>
      </w:pPr>
      <w:r>
        <w:rPr>
          <w:lang w:val="es-CR"/>
        </w:rPr>
        <w:t xml:space="preserve">De esta forma, el esquema de rotación del nuevo </w:t>
      </w:r>
      <w:r w:rsidR="00DC0D2B">
        <w:rPr>
          <w:lang w:val="es-CR"/>
        </w:rPr>
        <w:t>DMEC</w:t>
      </w:r>
      <w:r>
        <w:rPr>
          <w:lang w:val="es-CR"/>
        </w:rPr>
        <w:t>-</w:t>
      </w:r>
      <w:r w:rsidR="00D829FC">
        <w:rPr>
          <w:lang w:val="es-CR"/>
        </w:rPr>
        <w:t>09 corresponde</w:t>
      </w:r>
      <w:r>
        <w:rPr>
          <w:lang w:val="es-CR"/>
        </w:rPr>
        <w:t xml:space="preserve"> a una rotación de la muestra de viviendas en un 25% de las UPM o segmentos seleccionados. Para esto es necesario dividir la muestra de </w:t>
      </w:r>
      <w:r w:rsidR="00D829FC">
        <w:rPr>
          <w:lang w:val="es-CR"/>
        </w:rPr>
        <w:t>segmentos dentro</w:t>
      </w:r>
      <w:r>
        <w:rPr>
          <w:lang w:val="es-CR"/>
        </w:rPr>
        <w:t xml:space="preserve"> de cada estrato cuatro réplicas o grupos de rotación, cada uno de igual tamaño y con el mismo diseño muestral.   Antes de cada trimestre de encuesta, se cambia o rota la selección de viviendas dentro de uno de estos grupos de rotación, de esta forma un 75% de la muestra de viviendas coincidirá entre una encuesta y otra, y a los cuatro </w:t>
      </w:r>
      <w:r w:rsidR="00D829FC">
        <w:rPr>
          <w:lang w:val="es-CR"/>
        </w:rPr>
        <w:t>trimestres de</w:t>
      </w:r>
      <w:r>
        <w:rPr>
          <w:lang w:val="es-CR"/>
        </w:rPr>
        <w:t xml:space="preserve"> encuesta la muestra de viviendas se renovará en un 100%. </w:t>
      </w:r>
    </w:p>
    <w:p w:rsidR="008E4196" w:rsidRPr="009A653B" w:rsidRDefault="008E4196" w:rsidP="00A2567A">
      <w:pPr>
        <w:rPr>
          <w:lang w:val="es-CR"/>
        </w:rPr>
      </w:pPr>
    </w:p>
    <w:p w:rsidR="00784F01" w:rsidRPr="00E63068" w:rsidRDefault="00D829FC" w:rsidP="00E63068">
      <w:pPr>
        <w:pStyle w:val="Ttulo2"/>
        <w:widowControl w:val="0"/>
        <w:tabs>
          <w:tab w:val="left" w:pos="709"/>
          <w:tab w:val="left" w:pos="5760"/>
          <w:tab w:val="left" w:pos="6480"/>
          <w:tab w:val="left" w:pos="7200"/>
          <w:tab w:val="left" w:pos="7920"/>
          <w:tab w:val="left" w:pos="8640"/>
          <w:tab w:val="left" w:pos="9360"/>
        </w:tabs>
        <w:jc w:val="both"/>
        <w:rPr>
          <w:bCs w:val="0"/>
          <w:snapToGrid w:val="0"/>
          <w:szCs w:val="20"/>
          <w:lang w:val="es-ES_tradnl"/>
        </w:rPr>
      </w:pPr>
      <w:bookmarkStart w:id="11" w:name="_Toc237765370"/>
      <w:r w:rsidRPr="00E63068">
        <w:rPr>
          <w:bCs w:val="0"/>
          <w:snapToGrid w:val="0"/>
          <w:szCs w:val="20"/>
          <w:lang w:val="es-ES_tradnl"/>
        </w:rPr>
        <w:t>3.6 Distribución</w:t>
      </w:r>
      <w:r w:rsidR="00784F01" w:rsidRPr="00E63068">
        <w:rPr>
          <w:bCs w:val="0"/>
          <w:snapToGrid w:val="0"/>
          <w:szCs w:val="20"/>
          <w:lang w:val="es-ES_tradnl"/>
        </w:rPr>
        <w:t xml:space="preserve"> Continua</w:t>
      </w:r>
      <w:r w:rsidR="00252377" w:rsidRPr="00E63068">
        <w:rPr>
          <w:bCs w:val="0"/>
          <w:snapToGrid w:val="0"/>
          <w:szCs w:val="20"/>
          <w:lang w:val="es-ES_tradnl"/>
        </w:rPr>
        <w:t xml:space="preserve"> de la Muestra</w:t>
      </w:r>
      <w:bookmarkEnd w:id="11"/>
    </w:p>
    <w:p w:rsidR="00784F01" w:rsidRPr="00044C3E" w:rsidRDefault="00784F01" w:rsidP="00A2567A"/>
    <w:p w:rsidR="00ED4176" w:rsidRDefault="00784F01" w:rsidP="00A2567A">
      <w:pPr>
        <w:jc w:val="both"/>
      </w:pPr>
      <w:r>
        <w:t xml:space="preserve">Una encuesta continua consiste en una serie vinculada de encuestas periódicas que proporcionan para un período específico de tiempo estimaciones independientes de los indicadores del mercado de trabajo, y permiten medir las variaciones cíclicas y estacionales de esos </w:t>
      </w:r>
      <w:r w:rsidR="00D829FC">
        <w:t>indicadores [</w:t>
      </w:r>
      <w:hyperlink w:anchor="referencia4" w:history="1">
        <w:r w:rsidR="002C788B" w:rsidRPr="00551551">
          <w:rPr>
            <w:rStyle w:val="Hipervnculo"/>
          </w:rPr>
          <w:t>4</w:t>
        </w:r>
      </w:hyperlink>
      <w:r w:rsidR="002C788B">
        <w:t>]</w:t>
      </w:r>
      <w:r>
        <w:t xml:space="preserve">. </w:t>
      </w:r>
    </w:p>
    <w:p w:rsidR="00ED4176" w:rsidRDefault="00ED4176" w:rsidP="00A2567A">
      <w:pPr>
        <w:jc w:val="both"/>
      </w:pPr>
    </w:p>
    <w:p w:rsidR="00784F01" w:rsidRDefault="00784F01" w:rsidP="00A2567A">
      <w:pPr>
        <w:jc w:val="both"/>
      </w:pPr>
      <w:r w:rsidRPr="007D0EC7">
        <w:t xml:space="preserve">La característica fundamental de una encuesta continua es que el trabajo de campo se realiza en forma ininterrumpida a lo largo del período de encuesta, razón por la cual la información se obtiene mediante un período de referencia móvil (lapso de tiempo inmediatamente anterior a la entrevista) y por lo tanto </w:t>
      </w:r>
      <w:r w:rsidR="008E4196">
        <w:t xml:space="preserve">diferente </w:t>
      </w:r>
      <w:r w:rsidRPr="007D0EC7">
        <w:t>de un informante a otro dependien</w:t>
      </w:r>
      <w:r>
        <w:t>do de la fecha de la entrevista.</w:t>
      </w:r>
    </w:p>
    <w:p w:rsidR="00784F01" w:rsidRDefault="00784F01" w:rsidP="00784F01">
      <w:pPr>
        <w:autoSpaceDE w:val="0"/>
        <w:autoSpaceDN w:val="0"/>
        <w:adjustRightInd w:val="0"/>
        <w:jc w:val="both"/>
        <w:rPr>
          <w:szCs w:val="22"/>
        </w:rPr>
      </w:pPr>
    </w:p>
    <w:p w:rsidR="00784F01" w:rsidRPr="00784F01" w:rsidRDefault="00784F01" w:rsidP="00A2567A">
      <w:pPr>
        <w:jc w:val="both"/>
      </w:pPr>
      <w:r w:rsidRPr="00784F01">
        <w:t>El período de la encuesta</w:t>
      </w:r>
      <w:r w:rsidR="00252377">
        <w:t xml:space="preserve"> continua </w:t>
      </w:r>
      <w:r w:rsidRPr="00784F01">
        <w:t>puede dividirse en “</w:t>
      </w:r>
      <w:proofErr w:type="spellStart"/>
      <w:r w:rsidRPr="00784F01">
        <w:t>subperíodos</w:t>
      </w:r>
      <w:proofErr w:type="spellEnd"/>
      <w:r w:rsidRPr="00784F01">
        <w:t xml:space="preserve">” (meses, semanas), cada uno de los cuales comprenderá una muestra representativa del período completo de la encuesta. La división de la muestra en </w:t>
      </w:r>
      <w:proofErr w:type="spellStart"/>
      <w:r w:rsidRPr="00784F01">
        <w:t>subperíodos</w:t>
      </w:r>
      <w:proofErr w:type="spellEnd"/>
      <w:r w:rsidRPr="00784F01">
        <w:t xml:space="preserve"> permite una cobertura mejor, en el sentido de tener una muestra más representativa para estudiar las variaciones </w:t>
      </w:r>
      <w:r w:rsidR="00ED4176">
        <w:t xml:space="preserve">cíclicas o </w:t>
      </w:r>
      <w:r w:rsidRPr="00784F01">
        <w:t xml:space="preserve">estacionales ocurridas durante el período completo. Con el trabajo de campo </w:t>
      </w:r>
      <w:r w:rsidR="00ED4176">
        <w:t xml:space="preserve">distribuido de </w:t>
      </w:r>
      <w:r w:rsidRPr="00784F01">
        <w:t xml:space="preserve">esta forma se mejoran los resultados agregados para el período completo, dado que las variaciones estacionales y demás variaciones temporales durante el período de la encuesta quedan </w:t>
      </w:r>
      <w:r w:rsidR="00D829FC" w:rsidRPr="00784F01">
        <w:t>cubiertas de</w:t>
      </w:r>
      <w:r w:rsidRPr="00784F01">
        <w:t xml:space="preserve"> una forma más equilibrada. La principal </w:t>
      </w:r>
      <w:r w:rsidRPr="00784F01">
        <w:lastRenderedPageBreak/>
        <w:t>desventaja está en que eleva los costos</w:t>
      </w:r>
      <w:r w:rsidR="00ED4176">
        <w:t xml:space="preserve"> de la encuesta</w:t>
      </w:r>
      <w:r w:rsidRPr="00784F01">
        <w:t xml:space="preserve"> y dificulta el trabajo de campo porque implica un recorrido continuo del país durante todo el período y </w:t>
      </w:r>
      <w:proofErr w:type="spellStart"/>
      <w:r w:rsidRPr="00784F01">
        <w:t>subperíodos</w:t>
      </w:r>
      <w:proofErr w:type="spellEnd"/>
      <w:r w:rsidRPr="00784F01">
        <w:t xml:space="preserve"> de encuesta. </w:t>
      </w:r>
    </w:p>
    <w:p w:rsidR="00784F01" w:rsidRPr="00784F01" w:rsidRDefault="00784F01" w:rsidP="00A2567A">
      <w:pPr>
        <w:jc w:val="both"/>
      </w:pPr>
    </w:p>
    <w:p w:rsidR="00252377" w:rsidRDefault="00784F01" w:rsidP="00A2567A">
      <w:pPr>
        <w:jc w:val="both"/>
      </w:pPr>
      <w:r w:rsidRPr="00784F01">
        <w:t xml:space="preserve">Para </w:t>
      </w:r>
      <w:r w:rsidR="00D829FC" w:rsidRPr="00784F01">
        <w:t xml:space="preserve">garantizar </w:t>
      </w:r>
      <w:r w:rsidR="00D829FC">
        <w:t>la</w:t>
      </w:r>
      <w:r w:rsidR="00ED4176">
        <w:t xml:space="preserve"> </w:t>
      </w:r>
      <w:r w:rsidRPr="00784F01">
        <w:t>distribu</w:t>
      </w:r>
      <w:r w:rsidR="00ED4176">
        <w:t xml:space="preserve">ción continua de la muestra durante </w:t>
      </w:r>
      <w:r w:rsidRPr="00784F01">
        <w:t>todo el trimestre</w:t>
      </w:r>
      <w:r w:rsidR="00D829FC" w:rsidRPr="00784F01">
        <w:t>, se</w:t>
      </w:r>
      <w:r w:rsidRPr="00784F01">
        <w:t xml:space="preserve"> </w:t>
      </w:r>
      <w:r w:rsidR="00D829FC" w:rsidRPr="00784F01">
        <w:t>realizó una</w:t>
      </w:r>
      <w:r w:rsidRPr="00784F01">
        <w:t xml:space="preserve"> distribución balanceada del total de segmentos por réplica, región y zona entre las 13 semanas del trimestre</w:t>
      </w:r>
      <w:r w:rsidR="00252377">
        <w:t xml:space="preserve"> de la siguiente forma:</w:t>
      </w:r>
    </w:p>
    <w:p w:rsidR="00252377" w:rsidRDefault="00252377" w:rsidP="00C96257"/>
    <w:p w:rsidR="00252377" w:rsidRPr="00C96257" w:rsidRDefault="00E744AC" w:rsidP="00ED4176">
      <w:pPr>
        <w:pStyle w:val="Prrafodelista"/>
        <w:numPr>
          <w:ilvl w:val="0"/>
          <w:numId w:val="24"/>
        </w:numPr>
        <w:jc w:val="both"/>
        <w:rPr>
          <w:color w:val="000000"/>
        </w:rPr>
      </w:pPr>
      <w:r>
        <w:t xml:space="preserve">El tamaño de muestra trimestral asignado a cada </w:t>
      </w:r>
      <w:r w:rsidR="00252377">
        <w:t xml:space="preserve">región y </w:t>
      </w:r>
      <w:r>
        <w:t>zona se dividió en cuatro paneles o réplicas independientes de tamaño similar</w:t>
      </w:r>
      <w:r w:rsidR="00252377">
        <w:t xml:space="preserve"> que corresponden a los cuatro turnos de rotación de la muestra.</w:t>
      </w:r>
    </w:p>
    <w:p w:rsidR="00252377" w:rsidRPr="00252377" w:rsidRDefault="00252377" w:rsidP="00C96257">
      <w:pPr>
        <w:rPr>
          <w:color w:val="000000"/>
        </w:rPr>
      </w:pPr>
    </w:p>
    <w:p w:rsidR="00252377" w:rsidRPr="00C96257" w:rsidRDefault="00E744AC" w:rsidP="00ED4176">
      <w:pPr>
        <w:pStyle w:val="Prrafodelista"/>
        <w:numPr>
          <w:ilvl w:val="0"/>
          <w:numId w:val="24"/>
        </w:numPr>
        <w:jc w:val="both"/>
        <w:rPr>
          <w:color w:val="000000"/>
        </w:rPr>
      </w:pPr>
      <w:r>
        <w:t>Teniendo en cuenta que la periodicidad de la encuesta es trimestral</w:t>
      </w:r>
      <w:r w:rsidR="00D829FC">
        <w:t>, la</w:t>
      </w:r>
      <w:r>
        <w:t xml:space="preserve"> muestra de cada réplica se distribuyó de manera uniforme en las 13 semanas del trimestre para garantizar una mejor representatividad de cada región y zona, y cubrir de forma equilibrada las </w:t>
      </w:r>
      <w:r w:rsidRPr="00C96257">
        <w:rPr>
          <w:color w:val="000000"/>
        </w:rPr>
        <w:t xml:space="preserve">variaciones estacionales y coyunturales a lo interno de las regiones. </w:t>
      </w:r>
    </w:p>
    <w:p w:rsidR="00252377" w:rsidRPr="00252377" w:rsidRDefault="00252377" w:rsidP="00C96257">
      <w:pPr>
        <w:rPr>
          <w:color w:val="000000"/>
        </w:rPr>
      </w:pPr>
    </w:p>
    <w:p w:rsidR="00E744AC" w:rsidRDefault="00E744AC" w:rsidP="00ED4176">
      <w:pPr>
        <w:pStyle w:val="Prrafodelista"/>
        <w:numPr>
          <w:ilvl w:val="0"/>
          <w:numId w:val="24"/>
        </w:numPr>
        <w:jc w:val="both"/>
      </w:pPr>
      <w:r w:rsidRPr="00C96257">
        <w:rPr>
          <w:color w:val="000000"/>
        </w:rPr>
        <w:t xml:space="preserve">Finalmente, después de algunos ajustes por réplica y por semana dentro del trimestre, </w:t>
      </w:r>
      <w:r w:rsidR="008E355A" w:rsidRPr="00C96257">
        <w:rPr>
          <w:color w:val="000000"/>
        </w:rPr>
        <w:t xml:space="preserve">el tamaño de muestra </w:t>
      </w:r>
      <w:r w:rsidR="002A2865">
        <w:rPr>
          <w:color w:val="000000"/>
        </w:rPr>
        <w:t>quedó en 752 segmentos (</w:t>
      </w:r>
      <w:r w:rsidR="002A2865" w:rsidRPr="00755F9D">
        <w:rPr>
          <w:color w:val="212BEB"/>
        </w:rPr>
        <w:t>Cuadro 4</w:t>
      </w:r>
      <w:r w:rsidR="008E355A" w:rsidRPr="00C96257">
        <w:rPr>
          <w:color w:val="000000"/>
        </w:rPr>
        <w:t>)</w:t>
      </w:r>
      <w:r w:rsidR="0025194D" w:rsidRPr="00C96257">
        <w:rPr>
          <w:color w:val="000000"/>
        </w:rPr>
        <w:t>,</w:t>
      </w:r>
      <w:r w:rsidR="008E355A" w:rsidRPr="00C96257">
        <w:rPr>
          <w:color w:val="000000"/>
        </w:rPr>
        <w:t xml:space="preserve"> </w:t>
      </w:r>
      <w:r w:rsidR="004C20A8" w:rsidRPr="00C96257">
        <w:rPr>
          <w:color w:val="000000"/>
        </w:rPr>
        <w:t>o</w:t>
      </w:r>
      <w:r w:rsidR="008E355A" w:rsidRPr="00C96257">
        <w:rPr>
          <w:color w:val="000000"/>
        </w:rPr>
        <w:t xml:space="preserve"> 9024 viviendas (</w:t>
      </w:r>
      <w:r w:rsidR="008E355A" w:rsidRPr="00755F9D">
        <w:rPr>
          <w:color w:val="212BEB"/>
        </w:rPr>
        <w:t xml:space="preserve">Cuadro </w:t>
      </w:r>
      <w:r w:rsidR="002A2865" w:rsidRPr="00755F9D">
        <w:rPr>
          <w:color w:val="212BEB"/>
        </w:rPr>
        <w:t>5</w:t>
      </w:r>
      <w:r w:rsidR="008E355A" w:rsidRPr="00C96257">
        <w:rPr>
          <w:color w:val="000000"/>
        </w:rPr>
        <w:t>)</w:t>
      </w:r>
      <w:r w:rsidR="004C20A8" w:rsidRPr="00C96257">
        <w:rPr>
          <w:color w:val="000000"/>
        </w:rPr>
        <w:t>, con 182 segmentos por réplica que corresponden al 25% de la muestra</w:t>
      </w:r>
      <w:r w:rsidR="00BF3B7A" w:rsidRPr="00C96257">
        <w:rPr>
          <w:color w:val="000000"/>
        </w:rPr>
        <w:t xml:space="preserve"> total</w:t>
      </w:r>
      <w:r w:rsidR="004C20A8" w:rsidRPr="00C96257">
        <w:rPr>
          <w:color w:val="000000"/>
        </w:rPr>
        <w:t xml:space="preserve"> (</w:t>
      </w:r>
      <w:r w:rsidR="004C20A8" w:rsidRPr="00755F9D">
        <w:rPr>
          <w:color w:val="212BEB"/>
        </w:rPr>
        <w:t xml:space="preserve">Cuadro </w:t>
      </w:r>
      <w:r w:rsidR="002A2865" w:rsidRPr="00755F9D">
        <w:rPr>
          <w:color w:val="212BEB"/>
        </w:rPr>
        <w:t>6</w:t>
      </w:r>
      <w:r w:rsidR="004C20A8" w:rsidRPr="00C96257">
        <w:rPr>
          <w:color w:val="000000"/>
        </w:rPr>
        <w:t xml:space="preserve">). </w:t>
      </w:r>
      <w:r w:rsidR="009C062B" w:rsidRPr="00C96257">
        <w:rPr>
          <w:color w:val="000000"/>
        </w:rPr>
        <w:t xml:space="preserve"> </w:t>
      </w:r>
    </w:p>
    <w:p w:rsidR="005C4370" w:rsidRDefault="005C4370" w:rsidP="003415DC"/>
    <w:p w:rsidR="00E744AC" w:rsidRDefault="00E744AC">
      <w:pPr>
        <w:tabs>
          <w:tab w:val="left" w:pos="3030"/>
          <w:tab w:val="left" w:pos="4499"/>
          <w:tab w:val="left" w:pos="5780"/>
        </w:tabs>
        <w:rPr>
          <w:b/>
          <w:bCs/>
          <w:sz w:val="20"/>
          <w:szCs w:val="20"/>
        </w:rPr>
      </w:pPr>
      <w:r>
        <w:rPr>
          <w:b/>
          <w:bCs/>
          <w:sz w:val="20"/>
          <w:szCs w:val="20"/>
        </w:rPr>
        <w:t xml:space="preserve">CUADRO </w:t>
      </w:r>
      <w:r w:rsidR="002A2865">
        <w:rPr>
          <w:b/>
          <w:bCs/>
          <w:sz w:val="20"/>
          <w:szCs w:val="20"/>
        </w:rPr>
        <w:t>4</w:t>
      </w:r>
    </w:p>
    <w:p w:rsidR="00E744AC" w:rsidRDefault="00E744AC">
      <w:pPr>
        <w:autoSpaceDE w:val="0"/>
        <w:autoSpaceDN w:val="0"/>
        <w:adjustRightInd w:val="0"/>
        <w:jc w:val="both"/>
        <w:rPr>
          <w:b/>
          <w:bCs/>
          <w:sz w:val="20"/>
          <w:szCs w:val="20"/>
        </w:rPr>
      </w:pPr>
      <w:r>
        <w:rPr>
          <w:b/>
          <w:bCs/>
          <w:sz w:val="20"/>
          <w:szCs w:val="20"/>
        </w:rPr>
        <w:t xml:space="preserve">DISTRIBUCIÓN DE LA MUESTRA DE </w:t>
      </w:r>
      <w:r w:rsidR="008E355A">
        <w:rPr>
          <w:b/>
          <w:bCs/>
          <w:sz w:val="20"/>
          <w:szCs w:val="20"/>
        </w:rPr>
        <w:t>SEGMENTOS</w:t>
      </w:r>
      <w:r>
        <w:rPr>
          <w:b/>
          <w:bCs/>
          <w:sz w:val="20"/>
          <w:szCs w:val="20"/>
        </w:rPr>
        <w:t xml:space="preserve"> POR SEMANA DENTRO DEL TRIMESTRE </w:t>
      </w:r>
    </w:p>
    <w:p w:rsidR="00E744AC" w:rsidRDefault="00E744AC">
      <w:pPr>
        <w:autoSpaceDE w:val="0"/>
        <w:autoSpaceDN w:val="0"/>
        <w:adjustRightInd w:val="0"/>
        <w:jc w:val="both"/>
        <w:rPr>
          <w:b/>
          <w:bCs/>
          <w:sz w:val="20"/>
          <w:szCs w:val="20"/>
        </w:rPr>
      </w:pPr>
      <w:r>
        <w:rPr>
          <w:b/>
          <w:bCs/>
          <w:sz w:val="20"/>
          <w:szCs w:val="20"/>
        </w:rPr>
        <w:t>SEGÚN REGIÓN Y ZONA.</w:t>
      </w:r>
    </w:p>
    <w:p w:rsidR="008E355A" w:rsidRDefault="00974B1A">
      <w:pPr>
        <w:autoSpaceDE w:val="0"/>
        <w:autoSpaceDN w:val="0"/>
        <w:adjustRightInd w:val="0"/>
        <w:jc w:val="both"/>
        <w:rPr>
          <w:b/>
          <w:bCs/>
          <w:sz w:val="20"/>
          <w:szCs w:val="20"/>
        </w:rPr>
      </w:pPr>
      <w:r>
        <w:rPr>
          <w:noProof/>
          <w:szCs w:val="20"/>
          <w:lang w:val="es-CR" w:eastAsia="es-CR"/>
        </w:rPr>
        <w:drawing>
          <wp:inline distT="0" distB="0" distL="0" distR="0">
            <wp:extent cx="6048375" cy="4086225"/>
            <wp:effectExtent l="0" t="0" r="9525" b="9525"/>
            <wp:docPr id="12"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48375" cy="4086225"/>
                    </a:xfrm>
                    <a:prstGeom prst="rect">
                      <a:avLst/>
                    </a:prstGeom>
                    <a:noFill/>
                    <a:ln>
                      <a:noFill/>
                    </a:ln>
                  </pic:spPr>
                </pic:pic>
              </a:graphicData>
            </a:graphic>
          </wp:inline>
        </w:drawing>
      </w:r>
    </w:p>
    <w:p w:rsidR="00503521" w:rsidRDefault="00E744AC" w:rsidP="00503521">
      <w:pPr>
        <w:tabs>
          <w:tab w:val="left" w:pos="3030"/>
          <w:tab w:val="left" w:pos="4499"/>
          <w:tab w:val="left" w:pos="5780"/>
        </w:tabs>
        <w:rPr>
          <w:b/>
          <w:bCs/>
          <w:sz w:val="20"/>
          <w:szCs w:val="20"/>
        </w:rPr>
      </w:pPr>
      <w:r>
        <w:rPr>
          <w:b/>
          <w:bCs/>
          <w:sz w:val="20"/>
          <w:szCs w:val="20"/>
        </w:rPr>
        <w:br w:type="page"/>
      </w:r>
      <w:r>
        <w:rPr>
          <w:b/>
          <w:bCs/>
          <w:sz w:val="20"/>
          <w:szCs w:val="20"/>
        </w:rPr>
        <w:lastRenderedPageBreak/>
        <w:t xml:space="preserve">CUADRO </w:t>
      </w:r>
      <w:r w:rsidR="00503521">
        <w:rPr>
          <w:b/>
          <w:bCs/>
          <w:sz w:val="20"/>
          <w:szCs w:val="20"/>
        </w:rPr>
        <w:t>5</w:t>
      </w:r>
    </w:p>
    <w:p w:rsidR="00E744AC" w:rsidRDefault="00E744AC" w:rsidP="00503521">
      <w:pPr>
        <w:tabs>
          <w:tab w:val="left" w:pos="3030"/>
          <w:tab w:val="left" w:pos="4499"/>
          <w:tab w:val="left" w:pos="5780"/>
        </w:tabs>
        <w:rPr>
          <w:b/>
          <w:bCs/>
          <w:sz w:val="20"/>
          <w:szCs w:val="20"/>
        </w:rPr>
      </w:pPr>
      <w:r>
        <w:rPr>
          <w:b/>
          <w:bCs/>
          <w:sz w:val="20"/>
          <w:szCs w:val="20"/>
        </w:rPr>
        <w:t xml:space="preserve">DISTRIBUCIÓN DE LA MUESTRA DE </w:t>
      </w:r>
      <w:r w:rsidR="008E355A">
        <w:rPr>
          <w:b/>
          <w:bCs/>
          <w:sz w:val="20"/>
          <w:szCs w:val="20"/>
        </w:rPr>
        <w:t xml:space="preserve">VIVIENDAS </w:t>
      </w:r>
      <w:r>
        <w:rPr>
          <w:b/>
          <w:bCs/>
          <w:sz w:val="20"/>
          <w:szCs w:val="20"/>
        </w:rPr>
        <w:t xml:space="preserve">POR SEMANA DENTRO DEL TRIMESTRE </w:t>
      </w:r>
    </w:p>
    <w:p w:rsidR="00E744AC" w:rsidRDefault="00E744AC">
      <w:pPr>
        <w:autoSpaceDE w:val="0"/>
        <w:autoSpaceDN w:val="0"/>
        <w:adjustRightInd w:val="0"/>
        <w:jc w:val="both"/>
        <w:rPr>
          <w:b/>
          <w:bCs/>
          <w:sz w:val="20"/>
          <w:szCs w:val="20"/>
        </w:rPr>
      </w:pPr>
      <w:r>
        <w:rPr>
          <w:b/>
          <w:bCs/>
          <w:sz w:val="20"/>
          <w:szCs w:val="20"/>
        </w:rPr>
        <w:t>SEGÚN REGIÓN Y ZONA.</w:t>
      </w:r>
    </w:p>
    <w:p w:rsidR="00E744AC" w:rsidRDefault="00974B1A">
      <w:pPr>
        <w:autoSpaceDE w:val="0"/>
        <w:autoSpaceDN w:val="0"/>
        <w:adjustRightInd w:val="0"/>
        <w:jc w:val="both"/>
      </w:pPr>
      <w:r>
        <w:rPr>
          <w:noProof/>
          <w:lang w:val="es-CR" w:eastAsia="es-CR"/>
        </w:rPr>
        <w:drawing>
          <wp:inline distT="0" distB="0" distL="0" distR="0">
            <wp:extent cx="5705475" cy="3857625"/>
            <wp:effectExtent l="0" t="0" r="9525" b="9525"/>
            <wp:docPr id="1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05475" cy="3857625"/>
                    </a:xfrm>
                    <a:prstGeom prst="rect">
                      <a:avLst/>
                    </a:prstGeom>
                    <a:noFill/>
                    <a:ln>
                      <a:noFill/>
                    </a:ln>
                  </pic:spPr>
                </pic:pic>
              </a:graphicData>
            </a:graphic>
          </wp:inline>
        </w:drawing>
      </w:r>
    </w:p>
    <w:p w:rsidR="00E744AC" w:rsidRDefault="00E744AC">
      <w:pPr>
        <w:autoSpaceDE w:val="0"/>
        <w:autoSpaceDN w:val="0"/>
        <w:adjustRightInd w:val="0"/>
        <w:jc w:val="both"/>
      </w:pPr>
    </w:p>
    <w:p w:rsidR="009C062B" w:rsidRDefault="00E744AC" w:rsidP="009C062B">
      <w:pPr>
        <w:tabs>
          <w:tab w:val="left" w:pos="3030"/>
          <w:tab w:val="left" w:pos="4499"/>
          <w:tab w:val="left" w:pos="5780"/>
        </w:tabs>
        <w:rPr>
          <w:b/>
          <w:bCs/>
          <w:sz w:val="20"/>
          <w:szCs w:val="20"/>
        </w:rPr>
      </w:pPr>
      <w:r>
        <w:rPr>
          <w:szCs w:val="22"/>
        </w:rPr>
        <w:t xml:space="preserve"> </w:t>
      </w:r>
      <w:r w:rsidR="009C062B">
        <w:rPr>
          <w:b/>
          <w:bCs/>
          <w:sz w:val="20"/>
          <w:szCs w:val="20"/>
        </w:rPr>
        <w:t xml:space="preserve">CUADRO </w:t>
      </w:r>
      <w:r w:rsidR="00503521">
        <w:rPr>
          <w:b/>
          <w:bCs/>
          <w:sz w:val="20"/>
          <w:szCs w:val="20"/>
        </w:rPr>
        <w:t>6</w:t>
      </w:r>
    </w:p>
    <w:p w:rsidR="009C062B" w:rsidRDefault="009C062B" w:rsidP="009C062B">
      <w:pPr>
        <w:autoSpaceDE w:val="0"/>
        <w:autoSpaceDN w:val="0"/>
        <w:adjustRightInd w:val="0"/>
        <w:jc w:val="both"/>
        <w:rPr>
          <w:b/>
          <w:bCs/>
          <w:sz w:val="20"/>
          <w:szCs w:val="20"/>
        </w:rPr>
      </w:pPr>
      <w:r>
        <w:rPr>
          <w:b/>
          <w:bCs/>
          <w:sz w:val="20"/>
          <w:szCs w:val="20"/>
        </w:rPr>
        <w:t xml:space="preserve">DISTRIBUCIÓN DE LA MUESTRA DE SEGMENTOS POR SEMANA DENTRO DEL TRIMESTRE </w:t>
      </w:r>
    </w:p>
    <w:p w:rsidR="009C062B" w:rsidRDefault="009C062B" w:rsidP="009C062B">
      <w:pPr>
        <w:autoSpaceDE w:val="0"/>
        <w:autoSpaceDN w:val="0"/>
        <w:adjustRightInd w:val="0"/>
        <w:jc w:val="both"/>
        <w:rPr>
          <w:b/>
          <w:bCs/>
          <w:sz w:val="20"/>
          <w:szCs w:val="20"/>
        </w:rPr>
      </w:pPr>
      <w:r>
        <w:rPr>
          <w:b/>
          <w:bCs/>
          <w:sz w:val="20"/>
          <w:szCs w:val="20"/>
        </w:rPr>
        <w:t>SEGÚN RÉPLICA Y ZONA.</w:t>
      </w:r>
    </w:p>
    <w:p w:rsidR="009C062B" w:rsidRDefault="00974B1A">
      <w:pPr>
        <w:autoSpaceDE w:val="0"/>
        <w:autoSpaceDN w:val="0"/>
        <w:adjustRightInd w:val="0"/>
        <w:jc w:val="both"/>
        <w:rPr>
          <w:color w:val="0000FF"/>
          <w:szCs w:val="22"/>
        </w:rPr>
      </w:pPr>
      <w:r>
        <w:rPr>
          <w:noProof/>
          <w:szCs w:val="22"/>
          <w:lang w:val="es-CR" w:eastAsia="es-CR"/>
        </w:rPr>
        <w:drawing>
          <wp:inline distT="0" distB="0" distL="0" distR="0">
            <wp:extent cx="5895975" cy="2924175"/>
            <wp:effectExtent l="0" t="0" r="9525" b="9525"/>
            <wp:docPr id="14"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95975" cy="2924175"/>
                    </a:xfrm>
                    <a:prstGeom prst="rect">
                      <a:avLst/>
                    </a:prstGeom>
                    <a:noFill/>
                    <a:ln>
                      <a:noFill/>
                    </a:ln>
                  </pic:spPr>
                </pic:pic>
              </a:graphicData>
            </a:graphic>
          </wp:inline>
        </w:drawing>
      </w:r>
    </w:p>
    <w:p w:rsidR="009C062B" w:rsidRDefault="009C062B" w:rsidP="003415DC">
      <w:pPr>
        <w:rPr>
          <w:snapToGrid w:val="0"/>
          <w:lang w:val="es-ES_tradnl"/>
        </w:rPr>
      </w:pPr>
    </w:p>
    <w:p w:rsidR="00E744AC" w:rsidRPr="00E63068" w:rsidRDefault="00BF3B7A" w:rsidP="00E63068">
      <w:pPr>
        <w:pStyle w:val="Ttulo2"/>
        <w:widowControl w:val="0"/>
        <w:tabs>
          <w:tab w:val="left" w:pos="709"/>
          <w:tab w:val="left" w:pos="5760"/>
          <w:tab w:val="left" w:pos="6480"/>
          <w:tab w:val="left" w:pos="7200"/>
          <w:tab w:val="left" w:pos="7920"/>
          <w:tab w:val="left" w:pos="8640"/>
          <w:tab w:val="left" w:pos="9360"/>
        </w:tabs>
        <w:jc w:val="both"/>
        <w:rPr>
          <w:bCs w:val="0"/>
          <w:snapToGrid w:val="0"/>
          <w:szCs w:val="20"/>
          <w:lang w:val="es-ES_tradnl"/>
        </w:rPr>
      </w:pPr>
      <w:bookmarkStart w:id="12" w:name="_Toc237765371"/>
      <w:r w:rsidRPr="00E63068">
        <w:rPr>
          <w:bCs w:val="0"/>
          <w:snapToGrid w:val="0"/>
          <w:szCs w:val="20"/>
          <w:lang w:val="es-ES_tradnl"/>
        </w:rPr>
        <w:lastRenderedPageBreak/>
        <w:t>3.</w:t>
      </w:r>
      <w:r w:rsidR="00E744AC" w:rsidRPr="00E63068">
        <w:rPr>
          <w:bCs w:val="0"/>
          <w:snapToGrid w:val="0"/>
          <w:szCs w:val="20"/>
          <w:lang w:val="es-ES_tradnl"/>
        </w:rPr>
        <w:t>7. S</w:t>
      </w:r>
      <w:r w:rsidRPr="00E63068">
        <w:rPr>
          <w:bCs w:val="0"/>
          <w:snapToGrid w:val="0"/>
          <w:szCs w:val="20"/>
          <w:lang w:val="es-ES_tradnl"/>
        </w:rPr>
        <w:t>elección de la Muestra</w:t>
      </w:r>
      <w:bookmarkEnd w:id="12"/>
    </w:p>
    <w:p w:rsidR="00E744AC" w:rsidRDefault="00E744AC" w:rsidP="003415DC"/>
    <w:p w:rsidR="00E744AC" w:rsidRDefault="00E744AC">
      <w:pPr>
        <w:pStyle w:val="Textoindependiente"/>
        <w:rPr>
          <w:lang w:val="es-ES"/>
        </w:rPr>
      </w:pPr>
      <w:r>
        <w:t>L</w:t>
      </w:r>
      <w:r w:rsidR="00E0592F">
        <w:t xml:space="preserve">a muestra de </w:t>
      </w:r>
      <w:r>
        <w:t>segmentos se seleccion</w:t>
      </w:r>
      <w:r w:rsidR="00DA4757">
        <w:t>ó</w:t>
      </w:r>
      <w:r w:rsidR="00E0592F">
        <w:t xml:space="preserve"> </w:t>
      </w:r>
      <w:r>
        <w:t>con probabilidad proporcional al tamaño (PPT) dentro de cada región de planificación</w:t>
      </w:r>
      <w:r w:rsidR="00E0592F">
        <w:t xml:space="preserve">, </w:t>
      </w:r>
      <w:r>
        <w:t>zona</w:t>
      </w:r>
      <w:r w:rsidR="00E0592F">
        <w:t xml:space="preserve"> y réplica, c</w:t>
      </w:r>
      <w:r>
        <w:t xml:space="preserve">omo medida de tamaño </w:t>
      </w:r>
      <w:r w:rsidR="00E0592F">
        <w:t xml:space="preserve">se tomó </w:t>
      </w:r>
      <w:r>
        <w:t>el número de viviendas ocupadas</w:t>
      </w:r>
      <w:r w:rsidR="00E0592F">
        <w:t xml:space="preserve"> por segmento</w:t>
      </w:r>
      <w:r>
        <w:t xml:space="preserve">. </w:t>
      </w:r>
      <w:r>
        <w:rPr>
          <w:color w:val="000000"/>
          <w:lang w:val="es-ES"/>
        </w:rPr>
        <w:t>Dentro de cada segmento se seleccionan 12 viviendas</w:t>
      </w:r>
      <w:r>
        <w:rPr>
          <w:lang w:val="es-ES"/>
        </w:rPr>
        <w:t xml:space="preserve"> con probabilidades iguales (PI), en conglomerados de tres viviendas ocupadas.</w:t>
      </w:r>
    </w:p>
    <w:p w:rsidR="00E744AC" w:rsidRDefault="00E744AC">
      <w:pPr>
        <w:pStyle w:val="Textoindependiente"/>
        <w:rPr>
          <w:lang w:val="es-ES"/>
        </w:rPr>
      </w:pPr>
    </w:p>
    <w:p w:rsidR="00E744AC" w:rsidRDefault="00E744AC">
      <w:pPr>
        <w:pStyle w:val="Textoindependiente"/>
        <w:rPr>
          <w:lang w:val="es-ES"/>
        </w:rPr>
      </w:pPr>
      <w:r>
        <w:rPr>
          <w:lang w:val="es-ES"/>
        </w:rPr>
        <w:t>No se recomienda la sustitución de viviendas por los sesgos que puede</w:t>
      </w:r>
      <w:r w:rsidR="00EE5353">
        <w:rPr>
          <w:lang w:val="es-ES"/>
        </w:rPr>
        <w:t>n</w:t>
      </w:r>
      <w:r>
        <w:rPr>
          <w:lang w:val="es-ES"/>
        </w:rPr>
        <w:t xml:space="preserve"> presentar</w:t>
      </w:r>
      <w:r w:rsidR="00EE5353">
        <w:rPr>
          <w:lang w:val="es-ES"/>
        </w:rPr>
        <w:t>se. P</w:t>
      </w:r>
      <w:r>
        <w:rPr>
          <w:lang w:val="es-ES"/>
        </w:rPr>
        <w:t>or un lado se presenta el sesgo de selección</w:t>
      </w:r>
      <w:r w:rsidR="00AE521E">
        <w:rPr>
          <w:lang w:val="es-ES"/>
        </w:rPr>
        <w:t xml:space="preserve"> debido a que </w:t>
      </w:r>
      <w:r>
        <w:rPr>
          <w:lang w:val="es-ES"/>
        </w:rPr>
        <w:t xml:space="preserve">las viviendas seleccionadas para sustitución tendrán doble probabilidad de ser seleccionadas: la probabilidad de selección entre las primeras doce viviendas, y posteriormente la probabilidad de selección dado que no fueron seleccionadas entre las doce primeras. Por otro lado, la sustitución de viviendas puede agregar más problemas de los que realmente resuelve, está ampliamente comprobado que las viviendas que no responden en primera instancia pueden diferir en forma importante de las que si responden, lo cual induce a sesgos de estimación, para reducir estos sesgos, la mejor forma de enfrentar la no respuesta es </w:t>
      </w:r>
      <w:r w:rsidR="00D829FC">
        <w:rPr>
          <w:lang w:val="es-ES"/>
        </w:rPr>
        <w:t>evitándola [</w:t>
      </w:r>
      <w:hyperlink w:anchor="referencia5" w:history="1">
        <w:r w:rsidR="009C3531" w:rsidRPr="00551551">
          <w:rPr>
            <w:rStyle w:val="Hipervnculo"/>
            <w:lang w:val="es-ES"/>
          </w:rPr>
          <w:t>5</w:t>
        </w:r>
      </w:hyperlink>
      <w:r w:rsidR="00EE5353">
        <w:rPr>
          <w:lang w:val="es-ES"/>
        </w:rPr>
        <w:t>]</w:t>
      </w:r>
      <w:r>
        <w:rPr>
          <w:lang w:val="es-ES"/>
        </w:rPr>
        <w:t xml:space="preserve">. En este sentido es mejor dedicar esfuerzos a la calidad del dato obtenido y de mantener las tasas de respuesta en niveles aceptables (menores al 10%), </w:t>
      </w:r>
      <w:r w:rsidR="00EE5353">
        <w:rPr>
          <w:lang w:val="es-ES"/>
        </w:rPr>
        <w:t xml:space="preserve">y </w:t>
      </w:r>
      <w:r>
        <w:rPr>
          <w:lang w:val="es-ES"/>
        </w:rPr>
        <w:t xml:space="preserve">en caso de situaciones especiales diseñar procedimientos ad-hoc para la no respuesta, por ejemplo utilizar el cuestionario del trimestre anterior en caso de que la vivienda ya haya sido entrevistada anteriormente, o la selección previa de </w:t>
      </w:r>
      <w:r w:rsidR="00D829FC">
        <w:rPr>
          <w:lang w:val="es-ES"/>
        </w:rPr>
        <w:t>una muestra</w:t>
      </w:r>
      <w:r>
        <w:rPr>
          <w:lang w:val="es-ES"/>
        </w:rPr>
        <w:t xml:space="preserve"> mayor de viviendas en segmentos con bajas tasas de respuesta.</w:t>
      </w:r>
    </w:p>
    <w:p w:rsidR="00E744AC" w:rsidRDefault="00E744AC">
      <w:pPr>
        <w:pStyle w:val="Textoindependiente"/>
        <w:rPr>
          <w:lang w:val="es-ES"/>
        </w:rPr>
      </w:pPr>
    </w:p>
    <w:p w:rsidR="00E744AC" w:rsidRDefault="00E744AC">
      <w:pPr>
        <w:pStyle w:val="Textoindependiente"/>
        <w:rPr>
          <w:lang w:val="es-ES"/>
        </w:rPr>
      </w:pPr>
      <w:r>
        <w:rPr>
          <w:lang w:val="es-ES"/>
        </w:rPr>
        <w:t>Además,</w:t>
      </w:r>
      <w:r w:rsidR="007E2545">
        <w:rPr>
          <w:lang w:val="es-ES"/>
        </w:rPr>
        <w:t xml:space="preserve"> la selección de </w:t>
      </w:r>
      <w:r>
        <w:rPr>
          <w:lang w:val="es-ES"/>
        </w:rPr>
        <w:t xml:space="preserve">viviendas </w:t>
      </w:r>
      <w:r w:rsidR="007E2545">
        <w:rPr>
          <w:lang w:val="es-ES"/>
        </w:rPr>
        <w:t xml:space="preserve">adicionales para </w:t>
      </w:r>
      <w:r>
        <w:rPr>
          <w:lang w:val="es-ES"/>
        </w:rPr>
        <w:t xml:space="preserve">reemplazo </w:t>
      </w:r>
      <w:r w:rsidR="007E2545">
        <w:rPr>
          <w:lang w:val="es-ES"/>
        </w:rPr>
        <w:t xml:space="preserve">dificulta el control de la </w:t>
      </w:r>
      <w:r>
        <w:rPr>
          <w:lang w:val="es-ES"/>
        </w:rPr>
        <w:t xml:space="preserve">selección </w:t>
      </w:r>
      <w:r w:rsidR="007E2545">
        <w:rPr>
          <w:lang w:val="es-ES"/>
        </w:rPr>
        <w:t xml:space="preserve">y del esquema de rotación </w:t>
      </w:r>
      <w:r>
        <w:rPr>
          <w:lang w:val="es-ES"/>
        </w:rPr>
        <w:t>de vivienda</w:t>
      </w:r>
      <w:r w:rsidR="007E2545">
        <w:rPr>
          <w:lang w:val="es-ES"/>
        </w:rPr>
        <w:t xml:space="preserve">s entre encuestas. </w:t>
      </w:r>
    </w:p>
    <w:p w:rsidR="00E744AC" w:rsidRDefault="00E744AC" w:rsidP="003415DC">
      <w:pPr>
        <w:rPr>
          <w:b/>
          <w:bCs/>
          <w:color w:val="0000FF"/>
        </w:rPr>
      </w:pPr>
      <w:r>
        <w:t xml:space="preserve">     </w:t>
      </w:r>
    </w:p>
    <w:p w:rsidR="00E744AC" w:rsidRPr="00D333C0" w:rsidRDefault="009B406C" w:rsidP="00D333C0">
      <w:pPr>
        <w:pStyle w:val="Ttulo1"/>
        <w:ind w:left="0" w:firstLine="0"/>
      </w:pPr>
      <w:bookmarkStart w:id="13" w:name="_Toc237765372"/>
      <w:r>
        <w:t>4</w:t>
      </w:r>
      <w:r w:rsidR="00E744AC" w:rsidRPr="00D333C0">
        <w:t>. FACTORES DE EXPANSIÓN</w:t>
      </w:r>
      <w:bookmarkEnd w:id="13"/>
    </w:p>
    <w:p w:rsidR="00E744AC" w:rsidRDefault="00E744AC">
      <w:pPr>
        <w:autoSpaceDE w:val="0"/>
        <w:autoSpaceDN w:val="0"/>
        <w:adjustRightInd w:val="0"/>
        <w:jc w:val="both"/>
        <w:rPr>
          <w:b/>
          <w:bCs/>
          <w:szCs w:val="22"/>
        </w:rPr>
      </w:pPr>
    </w:p>
    <w:p w:rsidR="00E744AC" w:rsidRDefault="00E744AC">
      <w:pPr>
        <w:autoSpaceDE w:val="0"/>
        <w:autoSpaceDN w:val="0"/>
        <w:adjustRightInd w:val="0"/>
        <w:jc w:val="both"/>
        <w:rPr>
          <w:szCs w:val="22"/>
        </w:rPr>
      </w:pPr>
      <w:r>
        <w:rPr>
          <w:szCs w:val="22"/>
        </w:rPr>
        <w:t xml:space="preserve">Si </w:t>
      </w:r>
      <w:r w:rsidR="00FF6783">
        <w:rPr>
          <w:szCs w:val="22"/>
        </w:rPr>
        <w:t>la población permaneciera estática desde la construcción d</w:t>
      </w:r>
      <w:r>
        <w:rPr>
          <w:szCs w:val="22"/>
        </w:rPr>
        <w:t xml:space="preserve">el marco muestral de viviendas </w:t>
      </w:r>
      <w:r w:rsidR="00DA4757">
        <w:rPr>
          <w:szCs w:val="22"/>
        </w:rPr>
        <w:t>hasta la fecha de la encuesta</w:t>
      </w:r>
      <w:r>
        <w:rPr>
          <w:szCs w:val="22"/>
        </w:rPr>
        <w:t xml:space="preserve">, el factor de expansión </w:t>
      </w:r>
      <w:r w:rsidR="00FF6783">
        <w:rPr>
          <w:szCs w:val="22"/>
        </w:rPr>
        <w:t xml:space="preserve">de las viviendas </w:t>
      </w:r>
      <w:r>
        <w:rPr>
          <w:szCs w:val="22"/>
        </w:rPr>
        <w:t>sería simplemente el inverso de las probabilidades</w:t>
      </w:r>
      <w:r w:rsidR="00DA4757">
        <w:rPr>
          <w:szCs w:val="22"/>
        </w:rPr>
        <w:t xml:space="preserve"> iniciales de selección, s</w:t>
      </w:r>
      <w:r>
        <w:rPr>
          <w:szCs w:val="22"/>
        </w:rPr>
        <w:t xml:space="preserve">in embargo, es usual que ocurran cambios en la estructura poblacional desde el momento en que se construyó el marco hasta el momento </w:t>
      </w:r>
      <w:r w:rsidR="00DA4757">
        <w:rPr>
          <w:szCs w:val="22"/>
        </w:rPr>
        <w:t xml:space="preserve">en </w:t>
      </w:r>
      <w:r>
        <w:rPr>
          <w:szCs w:val="22"/>
        </w:rPr>
        <w:t xml:space="preserve">que se realizó la encuesta. Para corregir esas diferencias normalmente se consideran tres tipos de ajuste a los factores de expansión: por no respuesta, por </w:t>
      </w:r>
      <w:r w:rsidR="00FF6783">
        <w:rPr>
          <w:szCs w:val="22"/>
        </w:rPr>
        <w:t>des</w:t>
      </w:r>
      <w:r>
        <w:rPr>
          <w:szCs w:val="22"/>
        </w:rPr>
        <w:t xml:space="preserve">actualización de la muestra, y por proyecciones de población. </w:t>
      </w:r>
    </w:p>
    <w:p w:rsidR="00E744AC" w:rsidRDefault="00E744AC">
      <w:pPr>
        <w:autoSpaceDE w:val="0"/>
        <w:autoSpaceDN w:val="0"/>
        <w:adjustRightInd w:val="0"/>
        <w:jc w:val="both"/>
        <w:rPr>
          <w:szCs w:val="22"/>
        </w:rPr>
      </w:pPr>
    </w:p>
    <w:p w:rsidR="00E744AC" w:rsidRDefault="00E744AC">
      <w:pPr>
        <w:autoSpaceDE w:val="0"/>
        <w:autoSpaceDN w:val="0"/>
        <w:adjustRightInd w:val="0"/>
        <w:jc w:val="both"/>
        <w:rPr>
          <w:szCs w:val="22"/>
        </w:rPr>
      </w:pPr>
      <w:r>
        <w:rPr>
          <w:szCs w:val="22"/>
        </w:rPr>
        <w:t xml:space="preserve">El ajuste por no respuesta corrige </w:t>
      </w:r>
      <w:r w:rsidR="00FF6783">
        <w:rPr>
          <w:szCs w:val="22"/>
        </w:rPr>
        <w:t xml:space="preserve">las diferencias </w:t>
      </w:r>
      <w:r>
        <w:rPr>
          <w:szCs w:val="22"/>
        </w:rPr>
        <w:t xml:space="preserve">en las probabilidades de selección por </w:t>
      </w:r>
      <w:r w:rsidR="00DA4757">
        <w:rPr>
          <w:szCs w:val="22"/>
        </w:rPr>
        <w:t>la no respuesta de l</w:t>
      </w:r>
      <w:r>
        <w:rPr>
          <w:szCs w:val="22"/>
        </w:rPr>
        <w:t xml:space="preserve">as viviendas </w:t>
      </w:r>
      <w:r w:rsidR="00DA4757">
        <w:rPr>
          <w:szCs w:val="22"/>
        </w:rPr>
        <w:t xml:space="preserve">seleccionadas. El ajuste consiste en darle un mayor peso a las viviendas que </w:t>
      </w:r>
      <w:r>
        <w:rPr>
          <w:szCs w:val="22"/>
        </w:rPr>
        <w:t xml:space="preserve">respondieron </w:t>
      </w:r>
      <w:r w:rsidR="00F35EAC">
        <w:rPr>
          <w:szCs w:val="22"/>
        </w:rPr>
        <w:t>para</w:t>
      </w:r>
      <w:r w:rsidR="00FF6783">
        <w:rPr>
          <w:szCs w:val="22"/>
        </w:rPr>
        <w:t xml:space="preserve"> compens</w:t>
      </w:r>
      <w:r w:rsidR="00F35EAC">
        <w:rPr>
          <w:szCs w:val="22"/>
        </w:rPr>
        <w:t>ar</w:t>
      </w:r>
      <w:r w:rsidR="00FF6783">
        <w:rPr>
          <w:szCs w:val="22"/>
        </w:rPr>
        <w:t xml:space="preserve"> </w:t>
      </w:r>
      <w:r>
        <w:rPr>
          <w:szCs w:val="22"/>
        </w:rPr>
        <w:t xml:space="preserve">las viviendas que no respondieron. </w:t>
      </w:r>
    </w:p>
    <w:p w:rsidR="00E744AC" w:rsidRDefault="00E744AC">
      <w:pPr>
        <w:autoSpaceDE w:val="0"/>
        <w:autoSpaceDN w:val="0"/>
        <w:adjustRightInd w:val="0"/>
        <w:jc w:val="both"/>
        <w:rPr>
          <w:szCs w:val="22"/>
        </w:rPr>
      </w:pPr>
    </w:p>
    <w:p w:rsidR="00E744AC" w:rsidRDefault="00E744AC">
      <w:pPr>
        <w:autoSpaceDE w:val="0"/>
        <w:autoSpaceDN w:val="0"/>
        <w:adjustRightInd w:val="0"/>
        <w:jc w:val="both"/>
        <w:rPr>
          <w:szCs w:val="22"/>
        </w:rPr>
      </w:pPr>
      <w:r>
        <w:rPr>
          <w:szCs w:val="22"/>
        </w:rPr>
        <w:t xml:space="preserve">El ajuste por </w:t>
      </w:r>
      <w:r w:rsidR="00FF6783">
        <w:rPr>
          <w:szCs w:val="22"/>
        </w:rPr>
        <w:t>des</w:t>
      </w:r>
      <w:r>
        <w:rPr>
          <w:szCs w:val="22"/>
        </w:rPr>
        <w:t xml:space="preserve">actualización corrige </w:t>
      </w:r>
      <w:r w:rsidR="00FF6783">
        <w:rPr>
          <w:szCs w:val="22"/>
        </w:rPr>
        <w:t xml:space="preserve">de manera parcial </w:t>
      </w:r>
      <w:r>
        <w:rPr>
          <w:szCs w:val="22"/>
        </w:rPr>
        <w:t>los problemas de desactualización del MMV-00</w:t>
      </w:r>
      <w:r w:rsidR="00F35EAC">
        <w:rPr>
          <w:szCs w:val="22"/>
        </w:rPr>
        <w:t xml:space="preserve"> debido a que se efectúa únicamente en los segmentos seleccionados. El</w:t>
      </w:r>
      <w:r w:rsidR="00FF6783">
        <w:rPr>
          <w:szCs w:val="22"/>
        </w:rPr>
        <w:t xml:space="preserve"> ajuste consiste en actualizar </w:t>
      </w:r>
      <w:r>
        <w:rPr>
          <w:szCs w:val="22"/>
        </w:rPr>
        <w:t>las probabilidades de selección de las viviendas entrevistadas según los cambios poblacionales observados dentro de</w:t>
      </w:r>
      <w:r w:rsidR="00FF6783">
        <w:rPr>
          <w:szCs w:val="22"/>
        </w:rPr>
        <w:t xml:space="preserve"> cada </w:t>
      </w:r>
      <w:r>
        <w:rPr>
          <w:szCs w:val="22"/>
        </w:rPr>
        <w:t>segmento</w:t>
      </w:r>
      <w:r w:rsidR="00FF6783">
        <w:rPr>
          <w:szCs w:val="22"/>
        </w:rPr>
        <w:t xml:space="preserve"> de la muestra</w:t>
      </w:r>
      <w:r>
        <w:rPr>
          <w:szCs w:val="22"/>
        </w:rPr>
        <w:t>.</w:t>
      </w:r>
      <w:r w:rsidR="00FF6783">
        <w:rPr>
          <w:szCs w:val="22"/>
        </w:rPr>
        <w:t xml:space="preserve"> Sin embargo, e</w:t>
      </w:r>
      <w:r>
        <w:rPr>
          <w:szCs w:val="22"/>
        </w:rPr>
        <w:t xml:space="preserve">ste ajuste </w:t>
      </w:r>
      <w:r w:rsidR="00FF6783">
        <w:rPr>
          <w:szCs w:val="22"/>
        </w:rPr>
        <w:t>no compensa la desactualización general del marco</w:t>
      </w:r>
      <w:r w:rsidR="00F35EAC">
        <w:rPr>
          <w:szCs w:val="22"/>
        </w:rPr>
        <w:t xml:space="preserve">, en este sentido, </w:t>
      </w:r>
      <w:r w:rsidR="00FF6783">
        <w:rPr>
          <w:szCs w:val="22"/>
        </w:rPr>
        <w:t xml:space="preserve">una práctica común en las encuestas de hogares </w:t>
      </w:r>
      <w:r w:rsidR="00F35EAC">
        <w:rPr>
          <w:szCs w:val="22"/>
        </w:rPr>
        <w:t xml:space="preserve">es </w:t>
      </w:r>
      <w:r w:rsidR="00FF6783">
        <w:rPr>
          <w:szCs w:val="22"/>
        </w:rPr>
        <w:t xml:space="preserve">utilizar estimaciones de población </w:t>
      </w:r>
      <w:r>
        <w:rPr>
          <w:szCs w:val="22"/>
        </w:rPr>
        <w:t>exógena</w:t>
      </w:r>
      <w:r w:rsidR="00FF6783">
        <w:rPr>
          <w:szCs w:val="22"/>
        </w:rPr>
        <w:t>s</w:t>
      </w:r>
      <w:r w:rsidR="00B01869">
        <w:rPr>
          <w:szCs w:val="22"/>
        </w:rPr>
        <w:t>,</w:t>
      </w:r>
      <w:r w:rsidR="00FF6783">
        <w:rPr>
          <w:szCs w:val="22"/>
        </w:rPr>
        <w:t xml:space="preserve"> </w:t>
      </w:r>
      <w:r w:rsidR="00F35EAC">
        <w:rPr>
          <w:szCs w:val="22"/>
        </w:rPr>
        <w:t>com</w:t>
      </w:r>
      <w:r w:rsidR="00FF6783">
        <w:rPr>
          <w:szCs w:val="22"/>
        </w:rPr>
        <w:t xml:space="preserve">o </w:t>
      </w:r>
      <w:r w:rsidR="00F35EAC">
        <w:rPr>
          <w:szCs w:val="22"/>
        </w:rPr>
        <w:t xml:space="preserve">son las </w:t>
      </w:r>
      <w:r w:rsidR="00FF6783">
        <w:rPr>
          <w:szCs w:val="22"/>
        </w:rPr>
        <w:t>proyecciones de población</w:t>
      </w:r>
      <w:r w:rsidR="00B01869">
        <w:rPr>
          <w:szCs w:val="22"/>
        </w:rPr>
        <w:t>,</w:t>
      </w:r>
      <w:r w:rsidR="00FF6783">
        <w:rPr>
          <w:szCs w:val="22"/>
        </w:rPr>
        <w:t xml:space="preserve"> para corregir la desactualización general del marco.</w:t>
      </w:r>
      <w:r>
        <w:rPr>
          <w:szCs w:val="22"/>
        </w:rPr>
        <w:t xml:space="preserve"> </w:t>
      </w:r>
    </w:p>
    <w:p w:rsidR="00E744AC" w:rsidRDefault="00E744AC">
      <w:pPr>
        <w:autoSpaceDE w:val="0"/>
        <w:autoSpaceDN w:val="0"/>
        <w:adjustRightInd w:val="0"/>
        <w:jc w:val="both"/>
        <w:rPr>
          <w:szCs w:val="22"/>
        </w:rPr>
      </w:pPr>
    </w:p>
    <w:p w:rsidR="00E744AC" w:rsidRDefault="00E744AC">
      <w:pPr>
        <w:autoSpaceDE w:val="0"/>
        <w:autoSpaceDN w:val="0"/>
        <w:adjustRightInd w:val="0"/>
        <w:jc w:val="both"/>
        <w:rPr>
          <w:szCs w:val="22"/>
        </w:rPr>
      </w:pPr>
      <w:r>
        <w:rPr>
          <w:szCs w:val="22"/>
        </w:rPr>
        <w:t xml:space="preserve">Existen muchas posiciones en cuanto el nivel de ajuste por </w:t>
      </w:r>
      <w:r w:rsidR="00564546">
        <w:rPr>
          <w:szCs w:val="22"/>
        </w:rPr>
        <w:t>p</w:t>
      </w:r>
      <w:r>
        <w:rPr>
          <w:szCs w:val="22"/>
        </w:rPr>
        <w:t xml:space="preserve">royecciones de </w:t>
      </w:r>
      <w:r w:rsidR="00564546">
        <w:rPr>
          <w:szCs w:val="22"/>
        </w:rPr>
        <w:t>p</w:t>
      </w:r>
      <w:r>
        <w:rPr>
          <w:szCs w:val="22"/>
        </w:rPr>
        <w:t xml:space="preserve">oblación, ya sea que se haga a nivel total, para ciertos niveles de desagregación geográfica, o para grupos específicos de </w:t>
      </w:r>
      <w:r>
        <w:rPr>
          <w:szCs w:val="22"/>
        </w:rPr>
        <w:lastRenderedPageBreak/>
        <w:t xml:space="preserve">población por sexo y edad. Algunos investigadores opinan que las proyecciones demográficas no son </w:t>
      </w:r>
      <w:r w:rsidR="00AD648D">
        <w:rPr>
          <w:szCs w:val="22"/>
        </w:rPr>
        <w:t xml:space="preserve">tan </w:t>
      </w:r>
      <w:r>
        <w:rPr>
          <w:szCs w:val="22"/>
        </w:rPr>
        <w:t xml:space="preserve">rigurosas ni </w:t>
      </w:r>
      <w:r w:rsidR="00AD648D">
        <w:rPr>
          <w:szCs w:val="22"/>
        </w:rPr>
        <w:t xml:space="preserve">tan </w:t>
      </w:r>
      <w:r>
        <w:rPr>
          <w:szCs w:val="22"/>
        </w:rPr>
        <w:t>exactas para poder utilizarlas como referencia válida para las encuestas, a menos que se efectúe un conteo de población cada cinco años con el fin de actualizar con más precisión las proyecciones de población</w:t>
      </w:r>
      <w:r w:rsidR="00CC028B">
        <w:rPr>
          <w:szCs w:val="22"/>
        </w:rPr>
        <w:t>[</w:t>
      </w:r>
      <w:hyperlink w:anchor="referencia6" w:history="1">
        <w:r w:rsidR="00CC028B" w:rsidRPr="00551551">
          <w:rPr>
            <w:rStyle w:val="Hipervnculo"/>
            <w:szCs w:val="22"/>
          </w:rPr>
          <w:t>6</w:t>
        </w:r>
      </w:hyperlink>
      <w:r w:rsidR="00CC028B">
        <w:rPr>
          <w:szCs w:val="22"/>
        </w:rPr>
        <w:t>]</w:t>
      </w:r>
      <w:r>
        <w:rPr>
          <w:szCs w:val="22"/>
        </w:rPr>
        <w:t xml:space="preserve">. Otros argumentan que las encuestas de hogares no deberían deferir de las proyecciones oficiales de población, y </w:t>
      </w:r>
      <w:r w:rsidR="00564546">
        <w:rPr>
          <w:szCs w:val="22"/>
        </w:rPr>
        <w:t xml:space="preserve">si es así, </w:t>
      </w:r>
      <w:r>
        <w:rPr>
          <w:szCs w:val="22"/>
        </w:rPr>
        <w:t xml:space="preserve">en muchas ocasiones proporcionan mejores cifras de la estructura poblacional por sexo y edad que las proyecciones demográficas, sobre todo si se garantiza la representatividad y calidad de los datos </w:t>
      </w:r>
      <w:r w:rsidR="00D829FC">
        <w:rPr>
          <w:szCs w:val="22"/>
        </w:rPr>
        <w:t>muestrales [</w:t>
      </w:r>
      <w:hyperlink w:anchor="referencia7" w:history="1">
        <w:r w:rsidR="00C45518" w:rsidRPr="00551551">
          <w:rPr>
            <w:rStyle w:val="Hipervnculo"/>
            <w:szCs w:val="22"/>
          </w:rPr>
          <w:t>7</w:t>
        </w:r>
      </w:hyperlink>
      <w:r w:rsidR="00C45518">
        <w:rPr>
          <w:szCs w:val="22"/>
        </w:rPr>
        <w:t>]</w:t>
      </w:r>
      <w:r>
        <w:rPr>
          <w:szCs w:val="22"/>
        </w:rPr>
        <w:t xml:space="preserve">. </w:t>
      </w:r>
    </w:p>
    <w:p w:rsidR="00E744AC" w:rsidRDefault="00E744AC">
      <w:pPr>
        <w:autoSpaceDE w:val="0"/>
        <w:autoSpaceDN w:val="0"/>
        <w:adjustRightInd w:val="0"/>
        <w:jc w:val="both"/>
        <w:rPr>
          <w:szCs w:val="22"/>
        </w:rPr>
      </w:pPr>
    </w:p>
    <w:p w:rsidR="00E744AC" w:rsidRDefault="00195AC9">
      <w:pPr>
        <w:autoSpaceDE w:val="0"/>
        <w:autoSpaceDN w:val="0"/>
        <w:adjustRightInd w:val="0"/>
        <w:jc w:val="both"/>
        <w:rPr>
          <w:szCs w:val="22"/>
        </w:rPr>
      </w:pPr>
      <w:r>
        <w:rPr>
          <w:szCs w:val="22"/>
        </w:rPr>
        <w:t>Por lo anterior y c</w:t>
      </w:r>
      <w:r w:rsidR="00564546">
        <w:rPr>
          <w:szCs w:val="22"/>
        </w:rPr>
        <w:t xml:space="preserve">omo el </w:t>
      </w:r>
      <w:r w:rsidR="00E744AC">
        <w:rPr>
          <w:szCs w:val="22"/>
        </w:rPr>
        <w:t xml:space="preserve">principal objetivo de la </w:t>
      </w:r>
      <w:r w:rsidR="004E2CB3">
        <w:rPr>
          <w:szCs w:val="22"/>
        </w:rPr>
        <w:t>ECE</w:t>
      </w:r>
      <w:r w:rsidR="00E744AC">
        <w:rPr>
          <w:szCs w:val="22"/>
        </w:rPr>
        <w:t xml:space="preserve"> </w:t>
      </w:r>
      <w:r w:rsidR="00564546">
        <w:rPr>
          <w:szCs w:val="22"/>
        </w:rPr>
        <w:t xml:space="preserve">es </w:t>
      </w:r>
      <w:r w:rsidR="00E744AC">
        <w:rPr>
          <w:szCs w:val="22"/>
        </w:rPr>
        <w:t>dar estimaciones para el total país</w:t>
      </w:r>
      <w:r w:rsidR="00D829FC">
        <w:rPr>
          <w:szCs w:val="22"/>
        </w:rPr>
        <w:t>, por</w:t>
      </w:r>
      <w:r w:rsidR="00E744AC">
        <w:rPr>
          <w:szCs w:val="22"/>
        </w:rPr>
        <w:t xml:space="preserve"> zona urbana y rural, y para algunos grupos de población hasta donde los niveles de precisión lo permitan</w:t>
      </w:r>
      <w:r w:rsidR="00564546">
        <w:rPr>
          <w:szCs w:val="22"/>
        </w:rPr>
        <w:t xml:space="preserve">, </w:t>
      </w:r>
      <w:r w:rsidR="00E744AC">
        <w:rPr>
          <w:szCs w:val="22"/>
        </w:rPr>
        <w:t xml:space="preserve">el ajuste por proyecciones de población </w:t>
      </w:r>
      <w:r w:rsidR="00AD648D">
        <w:rPr>
          <w:szCs w:val="22"/>
        </w:rPr>
        <w:t xml:space="preserve">se hace </w:t>
      </w:r>
      <w:r w:rsidR="00E744AC">
        <w:rPr>
          <w:szCs w:val="22"/>
        </w:rPr>
        <w:t xml:space="preserve">a nivel nacional para mantener la coherencia con las demás estimaciones de población que brinda el INEC, y </w:t>
      </w:r>
      <w:r w:rsidR="00AD648D">
        <w:rPr>
          <w:szCs w:val="22"/>
        </w:rPr>
        <w:t xml:space="preserve">se </w:t>
      </w:r>
      <w:r w:rsidR="00D829FC">
        <w:rPr>
          <w:szCs w:val="22"/>
        </w:rPr>
        <w:t>mantiene la</w:t>
      </w:r>
      <w:r w:rsidR="00E744AC">
        <w:rPr>
          <w:szCs w:val="22"/>
        </w:rPr>
        <w:t xml:space="preserve"> estructura por zona, sexo y grupos de edad que </w:t>
      </w:r>
      <w:r w:rsidR="00D829FC">
        <w:rPr>
          <w:szCs w:val="22"/>
        </w:rPr>
        <w:t>proporcione cada</w:t>
      </w:r>
      <w:r w:rsidR="00564546">
        <w:rPr>
          <w:szCs w:val="22"/>
        </w:rPr>
        <w:t xml:space="preserve"> </w:t>
      </w:r>
      <w:r w:rsidR="00E744AC">
        <w:rPr>
          <w:szCs w:val="22"/>
        </w:rPr>
        <w:t xml:space="preserve">encuesta.   </w:t>
      </w:r>
    </w:p>
    <w:p w:rsidR="00E744AC" w:rsidRDefault="00E744AC">
      <w:pPr>
        <w:autoSpaceDE w:val="0"/>
        <w:autoSpaceDN w:val="0"/>
        <w:adjustRightInd w:val="0"/>
        <w:jc w:val="both"/>
        <w:rPr>
          <w:szCs w:val="22"/>
        </w:rPr>
      </w:pPr>
    </w:p>
    <w:p w:rsidR="00E744AC" w:rsidRPr="00D333C0" w:rsidRDefault="00FB41EE" w:rsidP="00D333C0">
      <w:pPr>
        <w:pStyle w:val="Ttulo1"/>
        <w:ind w:left="0" w:firstLine="0"/>
      </w:pPr>
      <w:bookmarkStart w:id="14" w:name="_Toc237765373"/>
      <w:r>
        <w:t>5</w:t>
      </w:r>
      <w:r w:rsidR="00E744AC" w:rsidRPr="00D333C0">
        <w:t>. ERROR DE MUESTREO</w:t>
      </w:r>
      <w:bookmarkEnd w:id="14"/>
    </w:p>
    <w:p w:rsidR="00E744AC" w:rsidRDefault="00E744AC">
      <w:pPr>
        <w:autoSpaceDE w:val="0"/>
        <w:autoSpaceDN w:val="0"/>
        <w:adjustRightInd w:val="0"/>
        <w:jc w:val="both"/>
        <w:rPr>
          <w:b/>
          <w:bCs/>
          <w:szCs w:val="22"/>
        </w:rPr>
      </w:pPr>
    </w:p>
    <w:p w:rsidR="00E744AC" w:rsidRDefault="00E744AC" w:rsidP="003415DC">
      <w:pPr>
        <w:jc w:val="both"/>
      </w:pPr>
      <w:r>
        <w:t xml:space="preserve">Anteriormente la disponibilidad de software para el cálculo de errores de muestreo </w:t>
      </w:r>
      <w:r w:rsidR="00497E0F">
        <w:t>en encuestas complejas</w:t>
      </w:r>
      <w:r w:rsidR="003E0A97" w:rsidRPr="00460765">
        <w:rPr>
          <w:rStyle w:val="Refdenotaalpie"/>
          <w:vertAlign w:val="superscript"/>
        </w:rPr>
        <w:footnoteReference w:id="6"/>
      </w:r>
      <w:r w:rsidR="00497E0F">
        <w:t xml:space="preserve"> </w:t>
      </w:r>
      <w:r>
        <w:t>estaba limitado a unos cuantos programas estadísticos</w:t>
      </w:r>
      <w:r w:rsidR="003E0A97">
        <w:t>, s</w:t>
      </w:r>
      <w:r>
        <w:t xml:space="preserve">in embargo, actualmente la disponibilidad de programas estadísticos que han incluido dentro de sus rutinas el cálculo de errores de muestreo para encuestas complejas es mucho mayor y </w:t>
      </w:r>
      <w:r w:rsidR="003E0A97">
        <w:t xml:space="preserve">son </w:t>
      </w:r>
      <w:r>
        <w:t xml:space="preserve">más </w:t>
      </w:r>
      <w:r w:rsidR="00497E0F">
        <w:t xml:space="preserve">amigables </w:t>
      </w:r>
      <w:r>
        <w:t>en cuanto a</w:t>
      </w:r>
      <w:r w:rsidR="00497E0F">
        <w:t>l</w:t>
      </w:r>
      <w:r>
        <w:t xml:space="preserve"> procesamiento. Estos programas utilizan métodos robustos para </w:t>
      </w:r>
      <w:r w:rsidR="003E0A97">
        <w:t xml:space="preserve">el cálculo de los errores de muestreo </w:t>
      </w:r>
      <w:r>
        <w:t xml:space="preserve">como </w:t>
      </w:r>
      <w:r w:rsidR="00497E0F">
        <w:t xml:space="preserve">por ejemplo </w:t>
      </w:r>
      <w:r>
        <w:t xml:space="preserve">el método de Conglomerados Últimos (IMPS), </w:t>
      </w:r>
      <w:r w:rsidR="00497E0F">
        <w:t xml:space="preserve">y </w:t>
      </w:r>
      <w:r>
        <w:t xml:space="preserve">el método de </w:t>
      </w:r>
      <w:proofErr w:type="spellStart"/>
      <w:r>
        <w:t>linearización</w:t>
      </w:r>
      <w:proofErr w:type="spellEnd"/>
      <w:r>
        <w:t xml:space="preserve"> de Series de Taylor (SPSS, STATA, SAS), cuyos resultados no difieren significativamente entre sí</w:t>
      </w:r>
      <w:r w:rsidR="003E0A97">
        <w:t xml:space="preserve"> </w:t>
      </w:r>
      <w:r w:rsidR="00C45518">
        <w:t>[</w:t>
      </w:r>
      <w:hyperlink w:anchor="referencia8" w:history="1">
        <w:r w:rsidR="00C45518" w:rsidRPr="00551551">
          <w:rPr>
            <w:rStyle w:val="Hipervnculo"/>
          </w:rPr>
          <w:t>8</w:t>
        </w:r>
      </w:hyperlink>
      <w:r w:rsidR="00C45518">
        <w:t>]</w:t>
      </w:r>
      <w:r>
        <w:t xml:space="preserve">. </w:t>
      </w:r>
    </w:p>
    <w:p w:rsidR="00E744AC" w:rsidRDefault="00E744AC" w:rsidP="003415DC">
      <w:pPr>
        <w:jc w:val="both"/>
      </w:pPr>
    </w:p>
    <w:p w:rsidR="00E744AC" w:rsidRDefault="00E744AC" w:rsidP="003415DC">
      <w:pPr>
        <w:jc w:val="both"/>
      </w:pPr>
      <w:r>
        <w:t xml:space="preserve">El cálculo de los errores de muestreo para la ETE se efectuará en el programa estadística </w:t>
      </w:r>
      <w:r w:rsidR="005B59F9">
        <w:t>IMPS</w:t>
      </w:r>
      <w:r>
        <w:t xml:space="preserve"> para las principales estimaciones de la encuesta, su uso y publicación estará limitada según </w:t>
      </w:r>
      <w:r w:rsidR="00D829FC">
        <w:t>los niveles</w:t>
      </w:r>
      <w:r>
        <w:t xml:space="preserve"> de precisión alcanzados.</w:t>
      </w:r>
    </w:p>
    <w:p w:rsidR="00E744AC" w:rsidRDefault="00E744AC">
      <w:pPr>
        <w:autoSpaceDE w:val="0"/>
        <w:autoSpaceDN w:val="0"/>
        <w:adjustRightInd w:val="0"/>
        <w:jc w:val="both"/>
        <w:rPr>
          <w:szCs w:val="22"/>
          <w:lang w:val="es-CR"/>
        </w:rPr>
      </w:pPr>
    </w:p>
    <w:p w:rsidR="00E744AC" w:rsidRPr="00D333C0" w:rsidRDefault="00FB41EE" w:rsidP="00D333C0">
      <w:pPr>
        <w:pStyle w:val="Ttulo1"/>
        <w:ind w:left="0" w:firstLine="0"/>
      </w:pPr>
      <w:bookmarkStart w:id="15" w:name="_Toc237765374"/>
      <w:r>
        <w:t>6</w:t>
      </w:r>
      <w:r w:rsidR="00E744AC" w:rsidRPr="00D333C0">
        <w:t>. ACTUALIZACIÓN DE LA MUESTRA</w:t>
      </w:r>
      <w:bookmarkEnd w:id="15"/>
    </w:p>
    <w:p w:rsidR="00E744AC" w:rsidRDefault="00E744AC" w:rsidP="00ED7148">
      <w:pPr>
        <w:jc w:val="both"/>
      </w:pPr>
    </w:p>
    <w:p w:rsidR="00E744AC" w:rsidRDefault="00E744AC" w:rsidP="00ED7148">
      <w:pPr>
        <w:jc w:val="both"/>
      </w:pPr>
      <w:r>
        <w:t>Los segmentos de la muestra permanecerán de forma indefinida en la muestra, salvo situaciones particulares en que se reporte una baja considerable de viviendas ocupada en algún segmento, agotamiento de la muestra de viviendas</w:t>
      </w:r>
      <w:r w:rsidR="00D829FC">
        <w:t>, o</w:t>
      </w:r>
      <w:r>
        <w:t xml:space="preserve"> se presenten problemas de alta peligrosidad o dificultades de acceso.</w:t>
      </w:r>
    </w:p>
    <w:p w:rsidR="00E744AC" w:rsidRDefault="00E744AC" w:rsidP="00ED7148">
      <w:pPr>
        <w:jc w:val="both"/>
      </w:pPr>
    </w:p>
    <w:p w:rsidR="00E744AC" w:rsidRDefault="00E744AC" w:rsidP="00ED7148">
      <w:pPr>
        <w:jc w:val="both"/>
      </w:pPr>
      <w:r>
        <w:t>Cada trimestre se renovará o rotarán las viviendas seleccionadas dentro del 25% de los segmentos de la muestra, con esto se evitará el cansancio de los entrevistados y se renovará parcialmente la muestra entre trimestres, y totalmente cada año.</w:t>
      </w:r>
    </w:p>
    <w:p w:rsidR="00E744AC" w:rsidRDefault="00E744AC" w:rsidP="00ED7148">
      <w:pPr>
        <w:jc w:val="both"/>
      </w:pPr>
    </w:p>
    <w:p w:rsidR="00E744AC" w:rsidRDefault="00E744AC" w:rsidP="00ED7148">
      <w:pPr>
        <w:jc w:val="both"/>
      </w:pPr>
      <w:r>
        <w:t>En la etapa de trabajo de campo se efectuará un recorrido completo del segmento para verificar la condición o cambio de estatus de las viviendas (ocupadas, desocupadas, abandonadas o en construcción), y la aparición de viviendas nuevas con el fin de actualizar las probabilidades de selección para la encuesta en ese trimestre, y asignarles a las nuevas viviendas una probabilidad conocida de ser seleccionadas para la próxima encuesta.</w:t>
      </w:r>
    </w:p>
    <w:p w:rsidR="00F27804" w:rsidRDefault="00F27804" w:rsidP="00ED7148">
      <w:pPr>
        <w:jc w:val="both"/>
      </w:pPr>
    </w:p>
    <w:p w:rsidR="003E0A97" w:rsidRDefault="003E0A97" w:rsidP="00ED7148">
      <w:pPr>
        <w:jc w:val="both"/>
      </w:pPr>
    </w:p>
    <w:p w:rsidR="003E0A97" w:rsidRDefault="003E0A97" w:rsidP="00ED7148">
      <w:pPr>
        <w:jc w:val="both"/>
      </w:pPr>
    </w:p>
    <w:p w:rsidR="00F27804" w:rsidRPr="003E0A97" w:rsidRDefault="00F27804">
      <w:pPr>
        <w:pStyle w:val="Sangra2detindependiente"/>
        <w:ind w:left="0"/>
        <w:rPr>
          <w:b/>
        </w:rPr>
      </w:pPr>
      <w:r w:rsidRPr="003E0A97">
        <w:rPr>
          <w:b/>
        </w:rPr>
        <w:t>REFERENCIAS</w:t>
      </w:r>
    </w:p>
    <w:p w:rsidR="00F27804" w:rsidRPr="00453FDB" w:rsidRDefault="00F27804">
      <w:pPr>
        <w:pStyle w:val="Sangra2detindependiente"/>
        <w:ind w:left="0"/>
      </w:pPr>
    </w:p>
    <w:p w:rsidR="003679EA" w:rsidRPr="00995B78" w:rsidRDefault="00D829FC" w:rsidP="00430295">
      <w:pPr>
        <w:pStyle w:val="Encabezado"/>
        <w:rPr>
          <w:rStyle w:val="Hipervnculo"/>
          <w:color w:val="000000" w:themeColor="text1"/>
          <w:u w:val="none"/>
        </w:rPr>
      </w:pPr>
      <w:bookmarkStart w:id="16" w:name="referencia1"/>
      <w:r w:rsidRPr="00995B78">
        <w:rPr>
          <w:rStyle w:val="Hipervnculo"/>
          <w:color w:val="000000" w:themeColor="text1"/>
          <w:u w:val="none"/>
        </w:rPr>
        <w:t>1. ENIG</w:t>
      </w:r>
      <w:r w:rsidR="003679EA" w:rsidRPr="00995B78">
        <w:rPr>
          <w:rStyle w:val="Hipervnculo"/>
          <w:color w:val="000000" w:themeColor="text1"/>
          <w:u w:val="none"/>
        </w:rPr>
        <w:t xml:space="preserve"> 2004: Asignación de la Muestra. Documento de Trabajo. INEC.2002.</w:t>
      </w:r>
    </w:p>
    <w:p w:rsidR="00D573C0" w:rsidRPr="00995B78" w:rsidRDefault="00453FDB" w:rsidP="00D573C0">
      <w:pPr>
        <w:pStyle w:val="Encabezado"/>
        <w:rPr>
          <w:rStyle w:val="Hipervnculo"/>
          <w:color w:val="000000" w:themeColor="text1"/>
          <w:u w:val="none"/>
        </w:rPr>
      </w:pPr>
      <w:bookmarkStart w:id="17" w:name="referencia2"/>
      <w:bookmarkEnd w:id="16"/>
      <w:r w:rsidRPr="00995B78">
        <w:rPr>
          <w:rStyle w:val="Hipervnculo"/>
          <w:color w:val="000000" w:themeColor="text1"/>
          <w:u w:val="none"/>
        </w:rPr>
        <w:t xml:space="preserve">2. INEC. </w:t>
      </w:r>
      <w:r w:rsidR="00D573C0" w:rsidRPr="00995B78">
        <w:rPr>
          <w:rStyle w:val="Hipervnculo"/>
          <w:color w:val="000000" w:themeColor="text1"/>
          <w:u w:val="none"/>
        </w:rPr>
        <w:t>Resultado sobre el Análisis del Tamaño de Muestra. Documento de Trabajo. 2008</w:t>
      </w:r>
    </w:p>
    <w:p w:rsidR="002F5D95" w:rsidRPr="00995B78" w:rsidRDefault="00FF5E0D" w:rsidP="00D573C0">
      <w:pPr>
        <w:pStyle w:val="Encabezado"/>
        <w:rPr>
          <w:rStyle w:val="Hipervnculo"/>
          <w:color w:val="000000" w:themeColor="text1"/>
          <w:u w:val="none"/>
        </w:rPr>
      </w:pPr>
      <w:bookmarkStart w:id="18" w:name="referencia3"/>
      <w:bookmarkEnd w:id="17"/>
      <w:r w:rsidRPr="00995B78">
        <w:rPr>
          <w:rStyle w:val="Hipervnculo"/>
          <w:color w:val="000000" w:themeColor="text1"/>
          <w:u w:val="none"/>
        </w:rPr>
        <w:t>3. Medina, Fernando. Las Encuestas de Panel. CEPAL.</w:t>
      </w:r>
    </w:p>
    <w:p w:rsidR="002C788B" w:rsidRPr="00995B78" w:rsidRDefault="002C788B" w:rsidP="002C788B">
      <w:pPr>
        <w:pStyle w:val="Encabezado"/>
        <w:rPr>
          <w:rStyle w:val="Hipervnculo"/>
          <w:color w:val="000000" w:themeColor="text1"/>
          <w:u w:val="none"/>
        </w:rPr>
      </w:pPr>
      <w:bookmarkStart w:id="19" w:name="referencia4"/>
      <w:bookmarkEnd w:id="18"/>
      <w:r w:rsidRPr="00995B78">
        <w:rPr>
          <w:rStyle w:val="Hipervnculo"/>
          <w:color w:val="000000" w:themeColor="text1"/>
          <w:u w:val="none"/>
        </w:rPr>
        <w:t xml:space="preserve">4. </w:t>
      </w:r>
      <w:proofErr w:type="spellStart"/>
      <w:r w:rsidRPr="00995B78">
        <w:rPr>
          <w:rStyle w:val="Hipervnculo"/>
          <w:color w:val="000000" w:themeColor="text1"/>
          <w:u w:val="none"/>
        </w:rPr>
        <w:t>Hussmanns</w:t>
      </w:r>
      <w:proofErr w:type="spellEnd"/>
      <w:r w:rsidR="00D829FC" w:rsidRPr="00995B78">
        <w:rPr>
          <w:rStyle w:val="Hipervnculo"/>
          <w:color w:val="000000" w:themeColor="text1"/>
          <w:u w:val="none"/>
        </w:rPr>
        <w:t xml:space="preserve">, </w:t>
      </w:r>
      <w:proofErr w:type="spellStart"/>
      <w:r w:rsidR="00D829FC" w:rsidRPr="00995B78">
        <w:rPr>
          <w:rStyle w:val="Hipervnculo"/>
          <w:color w:val="000000" w:themeColor="text1"/>
          <w:u w:val="none"/>
        </w:rPr>
        <w:t>Mehran</w:t>
      </w:r>
      <w:proofErr w:type="spellEnd"/>
      <w:r w:rsidRPr="00995B78">
        <w:rPr>
          <w:rStyle w:val="Hipervnculo"/>
          <w:color w:val="000000" w:themeColor="text1"/>
          <w:u w:val="none"/>
        </w:rPr>
        <w:t xml:space="preserve"> y </w:t>
      </w:r>
      <w:proofErr w:type="spellStart"/>
      <w:r w:rsidRPr="00995B78">
        <w:rPr>
          <w:rStyle w:val="Hipervnculo"/>
          <w:color w:val="000000" w:themeColor="text1"/>
          <w:u w:val="none"/>
        </w:rPr>
        <w:t>Verma</w:t>
      </w:r>
      <w:proofErr w:type="spellEnd"/>
      <w:r w:rsidRPr="00995B78">
        <w:rPr>
          <w:rStyle w:val="Hipervnculo"/>
          <w:color w:val="000000" w:themeColor="text1"/>
          <w:u w:val="none"/>
        </w:rPr>
        <w:t xml:space="preserve">.  Encuestas de Población Económicamente Activa, Empleo, </w:t>
      </w:r>
      <w:bookmarkEnd w:id="19"/>
      <w:r w:rsidRPr="00995B78">
        <w:rPr>
          <w:rStyle w:val="Hipervnculo"/>
          <w:color w:val="000000" w:themeColor="text1"/>
          <w:u w:val="none"/>
        </w:rPr>
        <w:t>Desempleo y Subempleo. Manual de la OIT sobre conceptos y métodos.1990.</w:t>
      </w:r>
    </w:p>
    <w:p w:rsidR="009C3531" w:rsidRPr="00995B78" w:rsidRDefault="009C3531" w:rsidP="009C3531">
      <w:pPr>
        <w:pStyle w:val="Encabezado"/>
        <w:rPr>
          <w:rStyle w:val="Hipervnculo"/>
          <w:color w:val="000000" w:themeColor="text1"/>
          <w:u w:val="none"/>
        </w:rPr>
      </w:pPr>
      <w:bookmarkStart w:id="20" w:name="referencia5"/>
      <w:r w:rsidRPr="00995B78">
        <w:rPr>
          <w:rStyle w:val="Hipervnculo"/>
          <w:color w:val="000000" w:themeColor="text1"/>
          <w:u w:val="none"/>
        </w:rPr>
        <w:t>5. Medina &amp; Galván. Imputación de datos: teoría y Práctica. 2007.</w:t>
      </w:r>
    </w:p>
    <w:p w:rsidR="00CC028B" w:rsidRPr="00995B78" w:rsidRDefault="00CC028B" w:rsidP="00CC028B">
      <w:pPr>
        <w:pStyle w:val="Encabezado"/>
        <w:rPr>
          <w:rStyle w:val="Hipervnculo"/>
          <w:color w:val="000000" w:themeColor="text1"/>
          <w:u w:val="none"/>
        </w:rPr>
      </w:pPr>
      <w:bookmarkStart w:id="21" w:name="referencia6"/>
      <w:bookmarkEnd w:id="20"/>
      <w:r w:rsidRPr="00995B78">
        <w:rPr>
          <w:rStyle w:val="Hipervnculo"/>
          <w:color w:val="000000" w:themeColor="text1"/>
          <w:u w:val="none"/>
        </w:rPr>
        <w:t xml:space="preserve">6. IBGE. Proyecciones de Población y los Ajustes de las Estimaciones de Encuestas Domiciliares: </w:t>
      </w:r>
      <w:bookmarkEnd w:id="21"/>
      <w:r w:rsidRPr="00995B78">
        <w:rPr>
          <w:rStyle w:val="Hipervnculo"/>
          <w:color w:val="000000" w:themeColor="text1"/>
          <w:u w:val="none"/>
        </w:rPr>
        <w:t>solución o un problema. 1990.</w:t>
      </w:r>
    </w:p>
    <w:p w:rsidR="00C45518" w:rsidRPr="00995B78" w:rsidRDefault="00C45518" w:rsidP="00C45518">
      <w:pPr>
        <w:pStyle w:val="Encabezado"/>
        <w:rPr>
          <w:rStyle w:val="Hipervnculo"/>
          <w:color w:val="000000" w:themeColor="text1"/>
          <w:u w:val="none"/>
          <w:lang w:val="en-US"/>
        </w:rPr>
      </w:pPr>
      <w:bookmarkStart w:id="22" w:name="referencia7"/>
      <w:r w:rsidRPr="00995B78">
        <w:rPr>
          <w:rStyle w:val="Hipervnculo"/>
          <w:color w:val="000000" w:themeColor="text1"/>
          <w:u w:val="none"/>
        </w:rPr>
        <w:t xml:space="preserve">7. DGEC. Diseños Metodológicos de la Encuesta de Hogares de Propósitos Múltiples. </w:t>
      </w:r>
      <w:r w:rsidRPr="00995B78">
        <w:rPr>
          <w:rStyle w:val="Hipervnculo"/>
          <w:color w:val="000000" w:themeColor="text1"/>
          <w:u w:val="none"/>
          <w:lang w:val="en-US"/>
        </w:rPr>
        <w:t xml:space="preserve">El </w:t>
      </w:r>
      <w:bookmarkEnd w:id="22"/>
      <w:r w:rsidRPr="00995B78">
        <w:rPr>
          <w:rStyle w:val="Hipervnculo"/>
          <w:color w:val="000000" w:themeColor="text1"/>
          <w:u w:val="none"/>
          <w:lang w:val="en-US"/>
        </w:rPr>
        <w:t>Salvador.1998.</w:t>
      </w:r>
    </w:p>
    <w:p w:rsidR="00C45518" w:rsidRPr="00995B78" w:rsidRDefault="00C45518" w:rsidP="00C45518">
      <w:pPr>
        <w:pStyle w:val="Encabezado"/>
        <w:rPr>
          <w:rStyle w:val="Hipervnculo"/>
          <w:color w:val="000000" w:themeColor="text1"/>
          <w:u w:val="none"/>
        </w:rPr>
      </w:pPr>
      <w:bookmarkStart w:id="23" w:name="referencia8"/>
      <w:r w:rsidRPr="00995B78">
        <w:rPr>
          <w:rStyle w:val="Hipervnculo"/>
          <w:color w:val="000000" w:themeColor="text1"/>
          <w:u w:val="none"/>
          <w:lang w:val="en-US"/>
        </w:rPr>
        <w:t xml:space="preserve">8. </w:t>
      </w:r>
      <w:proofErr w:type="spellStart"/>
      <w:r w:rsidRPr="00995B78">
        <w:rPr>
          <w:rStyle w:val="Hipervnculo"/>
          <w:color w:val="000000" w:themeColor="text1"/>
          <w:u w:val="none"/>
          <w:lang w:val="en-US"/>
        </w:rPr>
        <w:t>Siller</w:t>
      </w:r>
      <w:proofErr w:type="spellEnd"/>
      <w:r w:rsidRPr="00995B78">
        <w:rPr>
          <w:rStyle w:val="Hipervnculo"/>
          <w:color w:val="000000" w:themeColor="text1"/>
          <w:u w:val="none"/>
          <w:lang w:val="en-US"/>
        </w:rPr>
        <w:t xml:space="preserve"> &amp; Tompkins. The Big Four: Analyzing Complex Sample Survey Data Using SAS, SPSS, </w:t>
      </w:r>
      <w:bookmarkEnd w:id="23"/>
      <w:r w:rsidRPr="00995B78">
        <w:rPr>
          <w:rStyle w:val="Hipervnculo"/>
          <w:color w:val="000000" w:themeColor="text1"/>
          <w:u w:val="none"/>
          <w:lang w:val="en-US"/>
        </w:rPr>
        <w:t xml:space="preserve">STATA, and SUDAAN. </w:t>
      </w:r>
      <w:proofErr w:type="spellStart"/>
      <w:r w:rsidRPr="00995B78">
        <w:rPr>
          <w:rStyle w:val="Hipervnculo"/>
          <w:color w:val="000000" w:themeColor="text1"/>
          <w:u w:val="none"/>
        </w:rPr>
        <w:t>National</w:t>
      </w:r>
      <w:proofErr w:type="spellEnd"/>
      <w:r w:rsidRPr="00995B78">
        <w:rPr>
          <w:rStyle w:val="Hipervnculo"/>
          <w:color w:val="000000" w:themeColor="text1"/>
          <w:u w:val="none"/>
        </w:rPr>
        <w:t xml:space="preserve"> Center </w:t>
      </w:r>
      <w:proofErr w:type="spellStart"/>
      <w:r w:rsidRPr="00995B78">
        <w:rPr>
          <w:rStyle w:val="Hipervnculo"/>
          <w:color w:val="000000" w:themeColor="text1"/>
          <w:u w:val="none"/>
        </w:rPr>
        <w:t>for</w:t>
      </w:r>
      <w:proofErr w:type="spellEnd"/>
      <w:r w:rsidRPr="00995B78">
        <w:rPr>
          <w:rStyle w:val="Hipervnculo"/>
          <w:color w:val="000000" w:themeColor="text1"/>
          <w:u w:val="none"/>
        </w:rPr>
        <w:t xml:space="preserve"> </w:t>
      </w:r>
      <w:proofErr w:type="spellStart"/>
      <w:r w:rsidRPr="00995B78">
        <w:rPr>
          <w:rStyle w:val="Hipervnculo"/>
          <w:color w:val="000000" w:themeColor="text1"/>
          <w:u w:val="none"/>
        </w:rPr>
        <w:t>Health</w:t>
      </w:r>
      <w:proofErr w:type="spellEnd"/>
      <w:r w:rsidRPr="00995B78">
        <w:rPr>
          <w:rStyle w:val="Hipervnculo"/>
          <w:color w:val="000000" w:themeColor="text1"/>
          <w:u w:val="none"/>
        </w:rPr>
        <w:t xml:space="preserve"> </w:t>
      </w:r>
      <w:proofErr w:type="spellStart"/>
      <w:r w:rsidRPr="00995B78">
        <w:rPr>
          <w:rStyle w:val="Hipervnculo"/>
          <w:color w:val="000000" w:themeColor="text1"/>
          <w:u w:val="none"/>
        </w:rPr>
        <w:t>Statistics</w:t>
      </w:r>
      <w:proofErr w:type="spellEnd"/>
      <w:r w:rsidRPr="00995B78">
        <w:rPr>
          <w:rStyle w:val="Hipervnculo"/>
          <w:color w:val="000000" w:themeColor="text1"/>
          <w:u w:val="none"/>
        </w:rPr>
        <w:t>. USA.</w:t>
      </w:r>
    </w:p>
    <w:p w:rsidR="002F5D95" w:rsidRPr="00453FDB" w:rsidRDefault="002F5D95" w:rsidP="00430295">
      <w:pPr>
        <w:pStyle w:val="Encabezado"/>
        <w:rPr>
          <w:rStyle w:val="Hipervnculo"/>
          <w:u w:val="none"/>
          <w:lang w:val="es-CR"/>
        </w:rPr>
      </w:pPr>
    </w:p>
    <w:p w:rsidR="003679EA" w:rsidRPr="00453FDB" w:rsidRDefault="003679EA" w:rsidP="00430295">
      <w:pPr>
        <w:pStyle w:val="Encabezado"/>
        <w:jc w:val="center"/>
        <w:rPr>
          <w:rStyle w:val="Hipervnculo"/>
        </w:rPr>
      </w:pPr>
    </w:p>
    <w:p w:rsidR="008D56B4" w:rsidRDefault="008D56B4">
      <w:pPr>
        <w:rPr>
          <w:rStyle w:val="Referenciasutil"/>
        </w:rPr>
      </w:pPr>
      <w:r>
        <w:rPr>
          <w:rStyle w:val="Referenciasutil"/>
        </w:rPr>
        <w:br w:type="page"/>
      </w:r>
    </w:p>
    <w:p w:rsidR="00E744AC" w:rsidRPr="003E0A97" w:rsidRDefault="00E744AC">
      <w:pPr>
        <w:pStyle w:val="Encabezado"/>
        <w:jc w:val="center"/>
        <w:rPr>
          <w:rStyle w:val="Referenciasutil"/>
          <w:color w:val="212BEB"/>
        </w:rPr>
      </w:pPr>
      <w:bookmarkStart w:id="24" w:name="anexo1"/>
      <w:r w:rsidRPr="003E0A97">
        <w:rPr>
          <w:rStyle w:val="Referenciasutil"/>
          <w:color w:val="212BEB"/>
        </w:rPr>
        <w:lastRenderedPageBreak/>
        <w:t>ANEXO 1</w:t>
      </w:r>
    </w:p>
    <w:bookmarkEnd w:id="24"/>
    <w:p w:rsidR="00E744AC" w:rsidRDefault="00E744AC">
      <w:pPr>
        <w:pStyle w:val="Encabezado"/>
        <w:jc w:val="center"/>
      </w:pPr>
    </w:p>
    <w:p w:rsidR="00E744AC" w:rsidRDefault="00E744AC">
      <w:pPr>
        <w:pStyle w:val="Sangra2detindependiente"/>
        <w:ind w:left="0"/>
        <w:rPr>
          <w:b/>
          <w:bCs/>
          <w:sz w:val="20"/>
        </w:rPr>
      </w:pPr>
      <w:r>
        <w:rPr>
          <w:b/>
          <w:bCs/>
          <w:sz w:val="20"/>
        </w:rPr>
        <w:t>POSIBLES NIVELES DE DESAGREGACIÓN PARA PRINCIPALES INDICADORES</w:t>
      </w:r>
    </w:p>
    <w:p w:rsidR="00E744AC" w:rsidRDefault="00E744AC">
      <w:pPr>
        <w:pStyle w:val="Sangra2detindependiente"/>
        <w:ind w:left="0"/>
        <w:rPr>
          <w:b/>
          <w:bCs/>
          <w:sz w:val="20"/>
        </w:rPr>
      </w:pPr>
      <w:r>
        <w:rPr>
          <w:b/>
          <w:bCs/>
          <w:sz w:val="20"/>
        </w:rPr>
        <w:t xml:space="preserve">SEGÚN NIVELES DE PRECISIÓN ESPERADOS PARA DIFERENTES TAMAÑOS DE MUESTRA </w:t>
      </w:r>
    </w:p>
    <w:p w:rsidR="00E744AC" w:rsidRDefault="00E744AC">
      <w:pPr>
        <w:pStyle w:val="Sangra2detindependiente"/>
        <w:ind w:left="0"/>
        <w:rPr>
          <w:sz w:val="20"/>
        </w:rPr>
      </w:pPr>
    </w:p>
    <w:tbl>
      <w:tblPr>
        <w:tblW w:w="8460" w:type="dxa"/>
        <w:tblCellMar>
          <w:left w:w="0" w:type="dxa"/>
          <w:right w:w="0" w:type="dxa"/>
        </w:tblCellMar>
        <w:tblLook w:val="0000" w:firstRow="0" w:lastRow="0" w:firstColumn="0" w:lastColumn="0" w:noHBand="0" w:noVBand="0"/>
      </w:tblPr>
      <w:tblGrid>
        <w:gridCol w:w="4792"/>
        <w:gridCol w:w="966"/>
        <w:gridCol w:w="966"/>
        <w:gridCol w:w="966"/>
        <w:gridCol w:w="1190"/>
      </w:tblGrid>
      <w:tr w:rsidR="00E744AC">
        <w:trPr>
          <w:cantSplit/>
          <w:trHeight w:val="345"/>
          <w:tblHeader/>
        </w:trPr>
        <w:tc>
          <w:tcPr>
            <w:tcW w:w="4380" w:type="dxa"/>
            <w:vMerge w:val="restart"/>
            <w:tcBorders>
              <w:top w:val="single" w:sz="12" w:space="0" w:color="auto"/>
              <w:left w:val="nil"/>
              <w:bottom w:val="single" w:sz="4" w:space="0" w:color="000000"/>
              <w:right w:val="single" w:sz="4" w:space="0" w:color="auto"/>
            </w:tcBorders>
            <w:vAlign w:val="center"/>
          </w:tcPr>
          <w:p w:rsidR="00E744AC" w:rsidRDefault="00E744AC">
            <w:pPr>
              <w:jc w:val="center"/>
              <w:rPr>
                <w:rFonts w:eastAsia="Arial Unicode MS"/>
                <w:b/>
                <w:bCs/>
                <w:sz w:val="20"/>
                <w:szCs w:val="20"/>
              </w:rPr>
            </w:pPr>
            <w:r>
              <w:rPr>
                <w:b/>
                <w:bCs/>
                <w:sz w:val="20"/>
                <w:szCs w:val="20"/>
              </w:rPr>
              <w:t>Indicador</w:t>
            </w:r>
          </w:p>
        </w:tc>
        <w:tc>
          <w:tcPr>
            <w:tcW w:w="4080" w:type="dxa"/>
            <w:gridSpan w:val="4"/>
            <w:tcBorders>
              <w:top w:val="single" w:sz="12" w:space="0" w:color="auto"/>
              <w:left w:val="nil"/>
              <w:bottom w:val="single" w:sz="4" w:space="0" w:color="auto"/>
              <w:right w:val="nil"/>
            </w:tcBorders>
            <w:noWrap/>
            <w:vAlign w:val="center"/>
          </w:tcPr>
          <w:p w:rsidR="00E744AC" w:rsidRDefault="00E744AC">
            <w:pPr>
              <w:jc w:val="center"/>
              <w:rPr>
                <w:rFonts w:eastAsia="Arial Unicode MS"/>
                <w:b/>
                <w:bCs/>
                <w:sz w:val="20"/>
                <w:szCs w:val="20"/>
              </w:rPr>
            </w:pPr>
            <w:r>
              <w:rPr>
                <w:b/>
                <w:bCs/>
                <w:sz w:val="20"/>
                <w:szCs w:val="20"/>
              </w:rPr>
              <w:t>Tamaño de Muestra Viviendas</w:t>
            </w:r>
          </w:p>
        </w:tc>
      </w:tr>
      <w:tr w:rsidR="00E744AC">
        <w:trPr>
          <w:cantSplit/>
          <w:trHeight w:val="345"/>
          <w:tblHeader/>
        </w:trPr>
        <w:tc>
          <w:tcPr>
            <w:tcW w:w="0" w:type="auto"/>
            <w:vMerge/>
            <w:tcBorders>
              <w:top w:val="single" w:sz="8" w:space="0" w:color="auto"/>
              <w:left w:val="nil"/>
              <w:bottom w:val="single" w:sz="4" w:space="0" w:color="000000"/>
              <w:right w:val="single" w:sz="4" w:space="0" w:color="auto"/>
            </w:tcBorders>
            <w:vAlign w:val="center"/>
          </w:tcPr>
          <w:p w:rsidR="00E744AC" w:rsidRDefault="00E744AC">
            <w:pPr>
              <w:rPr>
                <w:rFonts w:eastAsia="Arial Unicode MS"/>
                <w:b/>
                <w:bCs/>
                <w:sz w:val="20"/>
                <w:szCs w:val="20"/>
              </w:rPr>
            </w:pPr>
          </w:p>
        </w:tc>
        <w:tc>
          <w:tcPr>
            <w:tcW w:w="0" w:type="auto"/>
            <w:tcBorders>
              <w:top w:val="nil"/>
              <w:left w:val="nil"/>
              <w:bottom w:val="single" w:sz="4" w:space="0" w:color="auto"/>
              <w:right w:val="single" w:sz="4" w:space="0" w:color="auto"/>
            </w:tcBorders>
            <w:noWrap/>
            <w:vAlign w:val="bottom"/>
          </w:tcPr>
          <w:p w:rsidR="00E744AC" w:rsidRDefault="00E744AC">
            <w:pPr>
              <w:jc w:val="center"/>
              <w:rPr>
                <w:rFonts w:eastAsia="Arial Unicode MS"/>
                <w:b/>
                <w:bCs/>
                <w:sz w:val="20"/>
                <w:szCs w:val="20"/>
              </w:rPr>
            </w:pPr>
            <w:r>
              <w:rPr>
                <w:b/>
                <w:bCs/>
                <w:sz w:val="20"/>
                <w:szCs w:val="20"/>
              </w:rPr>
              <w:t>3000</w:t>
            </w:r>
          </w:p>
        </w:tc>
        <w:tc>
          <w:tcPr>
            <w:tcW w:w="0" w:type="auto"/>
            <w:tcBorders>
              <w:top w:val="nil"/>
              <w:left w:val="nil"/>
              <w:bottom w:val="single" w:sz="4" w:space="0" w:color="auto"/>
              <w:right w:val="single" w:sz="4" w:space="0" w:color="auto"/>
            </w:tcBorders>
            <w:noWrap/>
            <w:vAlign w:val="bottom"/>
          </w:tcPr>
          <w:p w:rsidR="00E744AC" w:rsidRDefault="00E744AC">
            <w:pPr>
              <w:jc w:val="center"/>
              <w:rPr>
                <w:rFonts w:eastAsia="Arial Unicode MS"/>
                <w:b/>
                <w:bCs/>
                <w:sz w:val="20"/>
                <w:szCs w:val="20"/>
              </w:rPr>
            </w:pPr>
            <w:r>
              <w:rPr>
                <w:b/>
                <w:bCs/>
                <w:sz w:val="20"/>
                <w:szCs w:val="20"/>
              </w:rPr>
              <w:t>6000</w:t>
            </w:r>
          </w:p>
        </w:tc>
        <w:tc>
          <w:tcPr>
            <w:tcW w:w="0" w:type="auto"/>
            <w:tcBorders>
              <w:top w:val="nil"/>
              <w:left w:val="nil"/>
              <w:bottom w:val="single" w:sz="4" w:space="0" w:color="auto"/>
              <w:right w:val="single" w:sz="4" w:space="0" w:color="auto"/>
            </w:tcBorders>
            <w:noWrap/>
            <w:vAlign w:val="bottom"/>
          </w:tcPr>
          <w:p w:rsidR="00E744AC" w:rsidRDefault="00E744AC">
            <w:pPr>
              <w:jc w:val="center"/>
              <w:rPr>
                <w:rFonts w:eastAsia="Arial Unicode MS"/>
                <w:b/>
                <w:bCs/>
                <w:sz w:val="20"/>
                <w:szCs w:val="20"/>
              </w:rPr>
            </w:pPr>
            <w:r>
              <w:rPr>
                <w:b/>
                <w:bCs/>
                <w:sz w:val="20"/>
                <w:szCs w:val="20"/>
              </w:rPr>
              <w:t>9000</w:t>
            </w:r>
          </w:p>
        </w:tc>
        <w:tc>
          <w:tcPr>
            <w:tcW w:w="0" w:type="auto"/>
            <w:tcBorders>
              <w:top w:val="nil"/>
              <w:left w:val="nil"/>
              <w:bottom w:val="single" w:sz="4" w:space="0" w:color="auto"/>
              <w:right w:val="nil"/>
            </w:tcBorders>
            <w:noWrap/>
            <w:vAlign w:val="bottom"/>
          </w:tcPr>
          <w:p w:rsidR="00E744AC" w:rsidRDefault="00E744AC">
            <w:pPr>
              <w:jc w:val="center"/>
              <w:rPr>
                <w:rFonts w:eastAsia="Arial Unicode MS"/>
                <w:b/>
                <w:bCs/>
                <w:sz w:val="20"/>
                <w:szCs w:val="20"/>
              </w:rPr>
            </w:pPr>
            <w:r>
              <w:rPr>
                <w:b/>
                <w:bCs/>
                <w:sz w:val="20"/>
                <w:szCs w:val="20"/>
              </w:rPr>
              <w:t>12000</w:t>
            </w:r>
          </w:p>
        </w:tc>
      </w:tr>
      <w:tr w:rsidR="00E744AC">
        <w:trPr>
          <w:trHeight w:val="345"/>
        </w:trPr>
        <w:tc>
          <w:tcPr>
            <w:tcW w:w="4380" w:type="dxa"/>
            <w:tcBorders>
              <w:top w:val="nil"/>
              <w:left w:val="nil"/>
              <w:bottom w:val="nil"/>
              <w:right w:val="single" w:sz="4" w:space="0" w:color="auto"/>
            </w:tcBorders>
            <w:vAlign w:val="center"/>
          </w:tcPr>
          <w:p w:rsidR="00E744AC" w:rsidRDefault="00E744AC">
            <w:pPr>
              <w:jc w:val="center"/>
              <w:rPr>
                <w:rFonts w:eastAsia="Arial Unicode MS"/>
                <w:b/>
                <w:bCs/>
                <w:sz w:val="20"/>
                <w:szCs w:val="20"/>
              </w:rPr>
            </w:pPr>
            <w:r>
              <w:rPr>
                <w:b/>
                <w:bCs/>
                <w:sz w:val="20"/>
                <w:szCs w:val="20"/>
              </w:rPr>
              <w:t> </w:t>
            </w:r>
          </w:p>
        </w:tc>
        <w:tc>
          <w:tcPr>
            <w:tcW w:w="0" w:type="auto"/>
            <w:tcBorders>
              <w:top w:val="nil"/>
              <w:left w:val="nil"/>
              <w:bottom w:val="nil"/>
              <w:right w:val="nil"/>
            </w:tcBorders>
            <w:noWrap/>
            <w:vAlign w:val="bottom"/>
          </w:tcPr>
          <w:p w:rsidR="00E744AC" w:rsidRDefault="00E744AC">
            <w:pPr>
              <w:jc w:val="center"/>
              <w:rPr>
                <w:rFonts w:eastAsia="Arial Unicode MS"/>
                <w:b/>
                <w:bC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b/>
                <w:bC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b/>
                <w:bC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b/>
                <w:bCs/>
                <w:sz w:val="20"/>
                <w:szCs w:val="20"/>
              </w:rPr>
            </w:pPr>
          </w:p>
        </w:tc>
      </w:tr>
      <w:tr w:rsidR="00E744AC">
        <w:trPr>
          <w:trHeight w:val="345"/>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Pea</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45"/>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Desocupados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lang w:val="en-US"/>
              </w:rPr>
            </w:pPr>
            <w:r>
              <w:rPr>
                <w:sz w:val="20"/>
                <w:szCs w:val="20"/>
                <w:lang w:val="en-US"/>
              </w:rPr>
              <w:t>Rural</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lang w:val="en-US"/>
              </w:rPr>
            </w:pPr>
            <w:r>
              <w:rPr>
                <w:color w:val="FF0000"/>
                <w:sz w:val="20"/>
                <w:szCs w:val="20"/>
                <w:lang w:val="en-US"/>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lang w:val="en-US"/>
              </w:rPr>
            </w:pPr>
            <w:r>
              <w:rPr>
                <w:sz w:val="20"/>
                <w:szCs w:val="20"/>
                <w:lang w:val="en-US"/>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Puestos de Trabajo</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Ocupados por Horas Trabajadas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Total de Horas Trabajadas</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45"/>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45"/>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45"/>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TNP</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TDA</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Pobreza</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45"/>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Ingreso Per Cápita Hogar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Urbano</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Rural</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4380" w:type="dxa"/>
            <w:tcBorders>
              <w:top w:val="nil"/>
              <w:left w:val="nil"/>
              <w:bottom w:val="nil"/>
              <w:right w:val="single" w:sz="4" w:space="0" w:color="auto"/>
            </w:tcBorders>
            <w:vAlign w:val="bottom"/>
          </w:tcPr>
          <w:p w:rsidR="00E744AC" w:rsidRDefault="00E744AC">
            <w:pPr>
              <w:rPr>
                <w:rFonts w:eastAsia="Arial Unicode MS"/>
                <w:b/>
                <w:bCs/>
                <w:sz w:val="20"/>
                <w:szCs w:val="20"/>
              </w:rPr>
            </w:pPr>
            <w:r>
              <w:rPr>
                <w:b/>
                <w:bCs/>
                <w:sz w:val="20"/>
                <w:szCs w:val="20"/>
              </w:rPr>
              <w:t>Rama de Actividad</w:t>
            </w: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Agricultura, ganadería, caza y silvicultura</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Pesca</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Explotación de minas y canteras</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Industrias manufactureras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lastRenderedPageBreak/>
              <w:t>Suministro de electricidad, gas y agua</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Construcción</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proofErr w:type="spellStart"/>
            <w:r>
              <w:rPr>
                <w:sz w:val="20"/>
                <w:szCs w:val="20"/>
              </w:rPr>
              <w:t>Comerc</w:t>
            </w:r>
            <w:proofErr w:type="spellEnd"/>
            <w:r>
              <w:rPr>
                <w:sz w:val="20"/>
                <w:szCs w:val="20"/>
              </w:rPr>
              <w:t xml:space="preserve"> por </w:t>
            </w:r>
            <w:proofErr w:type="spellStart"/>
            <w:r>
              <w:rPr>
                <w:sz w:val="20"/>
                <w:szCs w:val="20"/>
              </w:rPr>
              <w:t>may</w:t>
            </w:r>
            <w:proofErr w:type="spellEnd"/>
            <w:r>
              <w:rPr>
                <w:sz w:val="20"/>
                <w:szCs w:val="20"/>
              </w:rPr>
              <w:t xml:space="preserve"> y </w:t>
            </w:r>
            <w:proofErr w:type="spellStart"/>
            <w:r>
              <w:rPr>
                <w:sz w:val="20"/>
                <w:szCs w:val="20"/>
              </w:rPr>
              <w:t>men</w:t>
            </w:r>
            <w:proofErr w:type="spellEnd"/>
            <w:r>
              <w:rPr>
                <w:sz w:val="20"/>
                <w:szCs w:val="20"/>
              </w:rPr>
              <w:t xml:space="preserve">, </w:t>
            </w:r>
            <w:proofErr w:type="spellStart"/>
            <w:r>
              <w:rPr>
                <w:sz w:val="20"/>
                <w:szCs w:val="20"/>
              </w:rPr>
              <w:t>repar</w:t>
            </w:r>
            <w:proofErr w:type="spellEnd"/>
            <w:r>
              <w:rPr>
                <w:sz w:val="20"/>
                <w:szCs w:val="20"/>
              </w:rPr>
              <w:t xml:space="preserve"> </w:t>
            </w:r>
            <w:proofErr w:type="spellStart"/>
            <w:r>
              <w:rPr>
                <w:sz w:val="20"/>
                <w:szCs w:val="20"/>
              </w:rPr>
              <w:t>vehíc</w:t>
            </w:r>
            <w:proofErr w:type="spellEnd"/>
            <w:r>
              <w:rPr>
                <w:sz w:val="20"/>
                <w:szCs w:val="20"/>
              </w:rPr>
              <w:t xml:space="preserve"> </w:t>
            </w:r>
            <w:proofErr w:type="spellStart"/>
            <w:r>
              <w:rPr>
                <w:sz w:val="20"/>
                <w:szCs w:val="20"/>
              </w:rPr>
              <w:t>autom</w:t>
            </w:r>
            <w:proofErr w:type="spellEnd"/>
            <w:r>
              <w:rPr>
                <w:sz w:val="20"/>
                <w:szCs w:val="20"/>
              </w:rPr>
              <w:t xml:space="preserve">, </w:t>
            </w:r>
            <w:proofErr w:type="spellStart"/>
            <w:r>
              <w:rPr>
                <w:sz w:val="20"/>
                <w:szCs w:val="20"/>
              </w:rPr>
              <w:t>motoc</w:t>
            </w:r>
            <w:proofErr w:type="spellEnd"/>
            <w:r>
              <w:rPr>
                <w:sz w:val="20"/>
                <w:szCs w:val="20"/>
              </w:rPr>
              <w:t xml:space="preserve">, </w:t>
            </w:r>
            <w:proofErr w:type="spellStart"/>
            <w:r>
              <w:rPr>
                <w:sz w:val="20"/>
                <w:szCs w:val="20"/>
              </w:rPr>
              <w:t>etc</w:t>
            </w:r>
            <w:proofErr w:type="spellEnd"/>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Hoteles y restaurantes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Transporte, almacenamiento y comunicaciones</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Intermediación financiera</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Actividades inmobiliarias, empresariales y de alquiler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proofErr w:type="spellStart"/>
            <w:r>
              <w:rPr>
                <w:color w:val="0000FF"/>
                <w:sz w:val="20"/>
                <w:szCs w:val="20"/>
              </w:rPr>
              <w:t>Admin</w:t>
            </w:r>
            <w:proofErr w:type="spellEnd"/>
            <w:r>
              <w:rPr>
                <w:color w:val="0000FF"/>
                <w:sz w:val="20"/>
                <w:szCs w:val="20"/>
              </w:rPr>
              <w:t xml:space="preserve"> pública y defensa; planes de seguridad social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Enseñanza</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Servicios sociales y de salud</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 xml:space="preserve">Otras </w:t>
            </w:r>
            <w:proofErr w:type="spellStart"/>
            <w:r>
              <w:rPr>
                <w:color w:val="0000FF"/>
                <w:sz w:val="20"/>
                <w:szCs w:val="20"/>
              </w:rPr>
              <w:t>activid</w:t>
            </w:r>
            <w:proofErr w:type="spellEnd"/>
            <w:r>
              <w:rPr>
                <w:color w:val="0000FF"/>
                <w:sz w:val="20"/>
                <w:szCs w:val="20"/>
              </w:rPr>
              <w:t xml:space="preserve"> de </w:t>
            </w:r>
            <w:proofErr w:type="spellStart"/>
            <w:r>
              <w:rPr>
                <w:color w:val="0000FF"/>
                <w:sz w:val="20"/>
                <w:szCs w:val="20"/>
              </w:rPr>
              <w:t>serv</w:t>
            </w:r>
            <w:proofErr w:type="spellEnd"/>
            <w:r>
              <w:rPr>
                <w:color w:val="0000FF"/>
                <w:sz w:val="20"/>
                <w:szCs w:val="20"/>
              </w:rPr>
              <w:t xml:space="preserve"> </w:t>
            </w:r>
            <w:proofErr w:type="spellStart"/>
            <w:r>
              <w:rPr>
                <w:color w:val="0000FF"/>
                <w:sz w:val="20"/>
                <w:szCs w:val="20"/>
              </w:rPr>
              <w:t>comun</w:t>
            </w:r>
            <w:proofErr w:type="spellEnd"/>
            <w:r>
              <w:rPr>
                <w:color w:val="0000FF"/>
                <w:sz w:val="20"/>
                <w:szCs w:val="20"/>
              </w:rPr>
              <w:t xml:space="preserve">, social y </w:t>
            </w:r>
            <w:proofErr w:type="spellStart"/>
            <w:r>
              <w:rPr>
                <w:color w:val="0000FF"/>
                <w:sz w:val="20"/>
                <w:szCs w:val="20"/>
              </w:rPr>
              <w:t>person</w:t>
            </w:r>
            <w:proofErr w:type="spellEnd"/>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Hogares privados con servicios doméstico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 xml:space="preserve">Organizaciones y </w:t>
            </w:r>
            <w:proofErr w:type="spellStart"/>
            <w:r>
              <w:rPr>
                <w:sz w:val="20"/>
                <w:szCs w:val="20"/>
              </w:rPr>
              <w:t>organos</w:t>
            </w:r>
            <w:proofErr w:type="spellEnd"/>
            <w:r>
              <w:rPr>
                <w:sz w:val="20"/>
                <w:szCs w:val="20"/>
              </w:rPr>
              <w:t xml:space="preserve"> extraterritoriales</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Grupo Ocupacional</w:t>
            </w: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 xml:space="preserve">Nivel </w:t>
            </w:r>
            <w:proofErr w:type="spellStart"/>
            <w:r>
              <w:rPr>
                <w:sz w:val="20"/>
                <w:szCs w:val="20"/>
              </w:rPr>
              <w:t>direct</w:t>
            </w:r>
            <w:proofErr w:type="spellEnd"/>
            <w:r>
              <w:rPr>
                <w:sz w:val="20"/>
                <w:szCs w:val="20"/>
              </w:rPr>
              <w:t xml:space="preserve"> </w:t>
            </w:r>
            <w:proofErr w:type="spellStart"/>
            <w:r>
              <w:rPr>
                <w:sz w:val="20"/>
                <w:szCs w:val="20"/>
              </w:rPr>
              <w:t>adm</w:t>
            </w:r>
            <w:proofErr w:type="spellEnd"/>
            <w:r>
              <w:rPr>
                <w:sz w:val="20"/>
                <w:szCs w:val="20"/>
              </w:rPr>
              <w:t xml:space="preserve"> </w:t>
            </w:r>
            <w:proofErr w:type="spellStart"/>
            <w:r>
              <w:rPr>
                <w:sz w:val="20"/>
                <w:szCs w:val="20"/>
              </w:rPr>
              <w:t>públ</w:t>
            </w:r>
            <w:proofErr w:type="spellEnd"/>
            <w:r>
              <w:rPr>
                <w:sz w:val="20"/>
                <w:szCs w:val="20"/>
              </w:rPr>
              <w:t xml:space="preserve"> y </w:t>
            </w:r>
            <w:proofErr w:type="spellStart"/>
            <w:r>
              <w:rPr>
                <w:sz w:val="20"/>
                <w:szCs w:val="20"/>
              </w:rPr>
              <w:t>empr</w:t>
            </w:r>
            <w:proofErr w:type="spellEnd"/>
            <w:r>
              <w:rPr>
                <w:sz w:val="20"/>
                <w:szCs w:val="20"/>
              </w:rPr>
              <w:t xml:space="preserve"> </w:t>
            </w:r>
            <w:proofErr w:type="spellStart"/>
            <w:r>
              <w:rPr>
                <w:sz w:val="20"/>
                <w:szCs w:val="20"/>
              </w:rPr>
              <w:t>priv</w:t>
            </w:r>
            <w:proofErr w:type="spellEnd"/>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 xml:space="preserve">Nivel </w:t>
            </w:r>
            <w:proofErr w:type="spellStart"/>
            <w:r>
              <w:rPr>
                <w:sz w:val="20"/>
                <w:szCs w:val="20"/>
              </w:rPr>
              <w:t>prof</w:t>
            </w:r>
            <w:proofErr w:type="spellEnd"/>
            <w:r>
              <w:rPr>
                <w:sz w:val="20"/>
                <w:szCs w:val="20"/>
              </w:rPr>
              <w:t xml:space="preserve">, </w:t>
            </w:r>
            <w:proofErr w:type="spellStart"/>
            <w:r>
              <w:rPr>
                <w:sz w:val="20"/>
                <w:szCs w:val="20"/>
              </w:rPr>
              <w:t>científ</w:t>
            </w:r>
            <w:proofErr w:type="spellEnd"/>
            <w:r>
              <w:rPr>
                <w:sz w:val="20"/>
                <w:szCs w:val="20"/>
              </w:rPr>
              <w:t xml:space="preserve"> e </w:t>
            </w:r>
            <w:proofErr w:type="spellStart"/>
            <w:r>
              <w:rPr>
                <w:sz w:val="20"/>
                <w:szCs w:val="20"/>
              </w:rPr>
              <w:t>intelect</w:t>
            </w:r>
            <w:proofErr w:type="spellEnd"/>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Nivel técnico y profesional medio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Apoyo administrativo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 xml:space="preserve">Venta locales </w:t>
            </w:r>
            <w:proofErr w:type="spellStart"/>
            <w:r>
              <w:rPr>
                <w:sz w:val="20"/>
                <w:szCs w:val="20"/>
              </w:rPr>
              <w:t>prestac</w:t>
            </w:r>
            <w:proofErr w:type="spellEnd"/>
            <w:r>
              <w:rPr>
                <w:sz w:val="20"/>
                <w:szCs w:val="20"/>
              </w:rPr>
              <w:t xml:space="preserve"> </w:t>
            </w:r>
            <w:proofErr w:type="spellStart"/>
            <w:r>
              <w:rPr>
                <w:sz w:val="20"/>
                <w:szCs w:val="20"/>
              </w:rPr>
              <w:t>serv</w:t>
            </w:r>
            <w:proofErr w:type="spellEnd"/>
            <w:r>
              <w:rPr>
                <w:sz w:val="20"/>
                <w:szCs w:val="20"/>
              </w:rPr>
              <w:t xml:space="preserve"> </w:t>
            </w:r>
            <w:proofErr w:type="spellStart"/>
            <w:r>
              <w:rPr>
                <w:sz w:val="20"/>
                <w:szCs w:val="20"/>
              </w:rPr>
              <w:t>direct</w:t>
            </w:r>
            <w:proofErr w:type="spellEnd"/>
            <w:r>
              <w:rPr>
                <w:sz w:val="20"/>
                <w:szCs w:val="20"/>
              </w:rPr>
              <w:t xml:space="preserve"> a personas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Agropecuarias, agrícolas y pesqueras "calificadas"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proofErr w:type="spellStart"/>
            <w:r>
              <w:rPr>
                <w:sz w:val="20"/>
                <w:szCs w:val="20"/>
              </w:rPr>
              <w:t>Prod</w:t>
            </w:r>
            <w:proofErr w:type="spellEnd"/>
            <w:r>
              <w:rPr>
                <w:sz w:val="20"/>
                <w:szCs w:val="20"/>
              </w:rPr>
              <w:t xml:space="preserve"> artes, </w:t>
            </w:r>
            <w:proofErr w:type="spellStart"/>
            <w:r>
              <w:rPr>
                <w:sz w:val="20"/>
                <w:szCs w:val="20"/>
              </w:rPr>
              <w:t>const</w:t>
            </w:r>
            <w:proofErr w:type="spellEnd"/>
            <w:r>
              <w:rPr>
                <w:sz w:val="20"/>
                <w:szCs w:val="20"/>
              </w:rPr>
              <w:t xml:space="preserve">, </w:t>
            </w:r>
            <w:proofErr w:type="spellStart"/>
            <w:r>
              <w:rPr>
                <w:sz w:val="20"/>
                <w:szCs w:val="20"/>
              </w:rPr>
              <w:t>mecán</w:t>
            </w:r>
            <w:proofErr w:type="spellEnd"/>
            <w:r>
              <w:rPr>
                <w:sz w:val="20"/>
                <w:szCs w:val="20"/>
              </w:rPr>
              <w:t xml:space="preserve">, art </w:t>
            </w:r>
            <w:proofErr w:type="spellStart"/>
            <w:r>
              <w:rPr>
                <w:sz w:val="20"/>
                <w:szCs w:val="20"/>
              </w:rPr>
              <w:t>gráf</w:t>
            </w:r>
            <w:proofErr w:type="spellEnd"/>
            <w:r>
              <w:rPr>
                <w:sz w:val="20"/>
                <w:szCs w:val="20"/>
              </w:rPr>
              <w:t xml:space="preserve"> y </w:t>
            </w:r>
            <w:proofErr w:type="spellStart"/>
            <w:r>
              <w:rPr>
                <w:sz w:val="20"/>
                <w:szCs w:val="20"/>
              </w:rPr>
              <w:t>manuf</w:t>
            </w:r>
            <w:proofErr w:type="spellEnd"/>
            <w:r>
              <w:rPr>
                <w:sz w:val="20"/>
                <w:szCs w:val="20"/>
              </w:rPr>
              <w:t xml:space="preserve"> "calificadas"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Montaje y operación de instalaciones y de máquinas</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Ocupaciones no calificadas</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Categoría Ocupacional</w:t>
            </w: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Patrono o socio activo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Trabajador cuenta propia</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Empleado del estado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Empleado empresa privada</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Servidor doméstico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Familiar no remunerado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vAlign w:val="bottom"/>
          </w:tcPr>
          <w:p w:rsidR="00E744AC" w:rsidRDefault="00E744AC">
            <w:pPr>
              <w:rPr>
                <w:rFonts w:eastAsia="Arial Unicode MS"/>
                <w:b/>
                <w:bCs/>
                <w:sz w:val="20"/>
                <w:szCs w:val="20"/>
              </w:rPr>
            </w:pPr>
            <w:r>
              <w:rPr>
                <w:b/>
                <w:bCs/>
                <w:sz w:val="20"/>
                <w:szCs w:val="20"/>
              </w:rPr>
              <w:t>Sector Institucional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Gobierno Central</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proofErr w:type="spellStart"/>
            <w:r>
              <w:rPr>
                <w:sz w:val="20"/>
                <w:szCs w:val="20"/>
              </w:rPr>
              <w:t>Insti.Autonom</w:t>
            </w:r>
            <w:proofErr w:type="spellEnd"/>
            <w:r>
              <w:rPr>
                <w:sz w:val="20"/>
                <w:szCs w:val="20"/>
              </w:rPr>
              <w:t xml:space="preserve"> y </w:t>
            </w:r>
            <w:proofErr w:type="spellStart"/>
            <w:r>
              <w:rPr>
                <w:sz w:val="20"/>
                <w:szCs w:val="20"/>
              </w:rPr>
              <w:t>Semiauton</w:t>
            </w:r>
            <w:proofErr w:type="spellEnd"/>
            <w:r>
              <w:rPr>
                <w:sz w:val="20"/>
                <w:szCs w:val="20"/>
              </w:rPr>
              <w:t xml:space="preserve"> de </w:t>
            </w:r>
            <w:proofErr w:type="spellStart"/>
            <w:r>
              <w:rPr>
                <w:sz w:val="20"/>
                <w:szCs w:val="20"/>
              </w:rPr>
              <w:t>servic</w:t>
            </w:r>
            <w:proofErr w:type="spellEnd"/>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Empresas Públicas No Financieras</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Empresas Públicas Financieras</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Empresas Públicas Constituidas en SA</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color w:val="0000FF"/>
                <w:sz w:val="20"/>
                <w:szCs w:val="20"/>
              </w:rPr>
            </w:pPr>
            <w:r>
              <w:rPr>
                <w:color w:val="0000FF"/>
                <w:sz w:val="20"/>
                <w:szCs w:val="20"/>
              </w:rPr>
              <w:t>Municipalidades y Consejos de Distrito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r>
              <w:rPr>
                <w:sz w:val="20"/>
                <w:szCs w:val="20"/>
              </w:rPr>
              <w:t>R</w:t>
            </w:r>
          </w:p>
        </w:tc>
      </w:tr>
      <w:tr w:rsidR="00E744AC">
        <w:trPr>
          <w:trHeight w:val="330"/>
        </w:trPr>
        <w:tc>
          <w:tcPr>
            <w:tcW w:w="0" w:type="auto"/>
            <w:tcBorders>
              <w:top w:val="nil"/>
              <w:left w:val="nil"/>
              <w:bottom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lastRenderedPageBreak/>
              <w:t>Sector Privado</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c>
          <w:tcPr>
            <w:tcW w:w="0" w:type="auto"/>
            <w:tcBorders>
              <w:top w:val="nil"/>
              <w:left w:val="nil"/>
              <w:bottom w:val="nil"/>
              <w:right w:val="nil"/>
            </w:tcBorders>
            <w:noWrap/>
            <w:vAlign w:val="bottom"/>
          </w:tcPr>
          <w:p w:rsidR="00E744AC" w:rsidRDefault="00E744AC">
            <w:pPr>
              <w:jc w:val="center"/>
              <w:rPr>
                <w:rFonts w:eastAsia="Arial Unicode MS"/>
                <w:color w:val="0000FF"/>
                <w:sz w:val="20"/>
                <w:szCs w:val="20"/>
              </w:rPr>
            </w:pPr>
            <w:r>
              <w:rPr>
                <w:color w:val="0000FF"/>
                <w:sz w:val="20"/>
                <w:szCs w:val="20"/>
              </w:rPr>
              <w:t>Si</w:t>
            </w:r>
          </w:p>
        </w:tc>
      </w:tr>
      <w:tr w:rsidR="00E744AC">
        <w:trPr>
          <w:trHeight w:val="330"/>
        </w:trPr>
        <w:tc>
          <w:tcPr>
            <w:tcW w:w="0" w:type="auto"/>
            <w:tcBorders>
              <w:top w:val="nil"/>
              <w:left w:val="nil"/>
              <w:right w:val="single" w:sz="4" w:space="0" w:color="auto"/>
            </w:tcBorders>
            <w:noWrap/>
            <w:tcMar>
              <w:top w:w="0" w:type="dxa"/>
              <w:left w:w="180" w:type="dxa"/>
              <w:bottom w:w="0" w:type="dxa"/>
              <w:right w:w="0" w:type="dxa"/>
            </w:tcMar>
            <w:vAlign w:val="bottom"/>
          </w:tcPr>
          <w:p w:rsidR="00E744AC" w:rsidRDefault="00E744AC">
            <w:pPr>
              <w:ind w:firstLineChars="100" w:firstLine="200"/>
              <w:rPr>
                <w:rFonts w:eastAsia="Arial Unicode MS"/>
                <w:sz w:val="20"/>
                <w:szCs w:val="20"/>
              </w:rPr>
            </w:pPr>
            <w:r>
              <w:rPr>
                <w:sz w:val="20"/>
                <w:szCs w:val="20"/>
              </w:rPr>
              <w:t>Organismos Internacionales</w:t>
            </w:r>
          </w:p>
        </w:tc>
        <w:tc>
          <w:tcPr>
            <w:tcW w:w="0" w:type="auto"/>
            <w:tcBorders>
              <w:top w:val="nil"/>
              <w:left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c>
          <w:tcPr>
            <w:tcW w:w="0" w:type="auto"/>
            <w:tcBorders>
              <w:top w:val="nil"/>
              <w:left w:val="nil"/>
              <w:right w:val="nil"/>
            </w:tcBorders>
            <w:noWrap/>
            <w:vAlign w:val="bottom"/>
          </w:tcPr>
          <w:p w:rsidR="00E744AC" w:rsidRDefault="00E744AC">
            <w:pPr>
              <w:jc w:val="center"/>
              <w:rPr>
                <w:rFonts w:eastAsia="Arial Unicode MS"/>
                <w:color w:val="FF0000"/>
                <w:sz w:val="20"/>
                <w:szCs w:val="20"/>
              </w:rPr>
            </w:pPr>
            <w:r>
              <w:rPr>
                <w:color w:val="FF0000"/>
                <w:sz w:val="20"/>
                <w:szCs w:val="20"/>
              </w:rPr>
              <w:t>No</w:t>
            </w:r>
          </w:p>
        </w:tc>
      </w:tr>
      <w:tr w:rsidR="00E744AC">
        <w:trPr>
          <w:trHeight w:val="195"/>
        </w:trPr>
        <w:tc>
          <w:tcPr>
            <w:tcW w:w="0" w:type="auto"/>
            <w:tcBorders>
              <w:top w:val="nil"/>
              <w:left w:val="nil"/>
              <w:bottom w:val="single" w:sz="12" w:space="0" w:color="auto"/>
              <w:right w:val="single" w:sz="4" w:space="0" w:color="auto"/>
            </w:tcBorders>
            <w:noWrap/>
            <w:vAlign w:val="bottom"/>
          </w:tcPr>
          <w:p w:rsidR="00E744AC" w:rsidRDefault="00E744AC">
            <w:pPr>
              <w:rPr>
                <w:rFonts w:eastAsia="Arial Unicode MS"/>
                <w:sz w:val="20"/>
                <w:szCs w:val="20"/>
              </w:rPr>
            </w:pPr>
            <w:r>
              <w:rPr>
                <w:sz w:val="20"/>
                <w:szCs w:val="20"/>
              </w:rPr>
              <w:t> </w:t>
            </w:r>
          </w:p>
        </w:tc>
        <w:tc>
          <w:tcPr>
            <w:tcW w:w="0" w:type="auto"/>
            <w:tcBorders>
              <w:top w:val="nil"/>
              <w:left w:val="nil"/>
              <w:bottom w:val="single" w:sz="12" w:space="0" w:color="auto"/>
              <w:right w:val="nil"/>
            </w:tcBorders>
            <w:noWrap/>
            <w:vAlign w:val="bottom"/>
          </w:tcPr>
          <w:p w:rsidR="00E744AC" w:rsidRDefault="00E744AC">
            <w:pPr>
              <w:jc w:val="center"/>
              <w:rPr>
                <w:rFonts w:eastAsia="Arial Unicode MS"/>
                <w:sz w:val="20"/>
                <w:szCs w:val="20"/>
              </w:rPr>
            </w:pPr>
            <w:r>
              <w:rPr>
                <w:sz w:val="20"/>
                <w:szCs w:val="20"/>
              </w:rPr>
              <w:t> </w:t>
            </w:r>
          </w:p>
        </w:tc>
        <w:tc>
          <w:tcPr>
            <w:tcW w:w="0" w:type="auto"/>
            <w:tcBorders>
              <w:top w:val="nil"/>
              <w:left w:val="nil"/>
              <w:bottom w:val="single" w:sz="12" w:space="0" w:color="auto"/>
              <w:right w:val="nil"/>
            </w:tcBorders>
            <w:noWrap/>
            <w:vAlign w:val="bottom"/>
          </w:tcPr>
          <w:p w:rsidR="00E744AC" w:rsidRDefault="00E744AC">
            <w:pPr>
              <w:jc w:val="center"/>
              <w:rPr>
                <w:rFonts w:eastAsia="Arial Unicode MS"/>
                <w:sz w:val="20"/>
                <w:szCs w:val="20"/>
              </w:rPr>
            </w:pPr>
            <w:r>
              <w:rPr>
                <w:sz w:val="20"/>
                <w:szCs w:val="20"/>
              </w:rPr>
              <w:t> </w:t>
            </w:r>
          </w:p>
        </w:tc>
        <w:tc>
          <w:tcPr>
            <w:tcW w:w="0" w:type="auto"/>
            <w:tcBorders>
              <w:top w:val="nil"/>
              <w:left w:val="nil"/>
              <w:bottom w:val="single" w:sz="12" w:space="0" w:color="auto"/>
              <w:right w:val="nil"/>
            </w:tcBorders>
            <w:noWrap/>
            <w:vAlign w:val="bottom"/>
          </w:tcPr>
          <w:p w:rsidR="00E744AC" w:rsidRDefault="00E744AC">
            <w:pPr>
              <w:jc w:val="center"/>
              <w:rPr>
                <w:rFonts w:eastAsia="Arial Unicode MS"/>
                <w:sz w:val="20"/>
                <w:szCs w:val="20"/>
              </w:rPr>
            </w:pPr>
            <w:r>
              <w:rPr>
                <w:sz w:val="20"/>
                <w:szCs w:val="20"/>
              </w:rPr>
              <w:t> </w:t>
            </w:r>
          </w:p>
        </w:tc>
        <w:tc>
          <w:tcPr>
            <w:tcW w:w="0" w:type="auto"/>
            <w:tcBorders>
              <w:top w:val="nil"/>
              <w:left w:val="nil"/>
              <w:bottom w:val="single" w:sz="12" w:space="0" w:color="auto"/>
              <w:right w:val="nil"/>
            </w:tcBorders>
            <w:noWrap/>
            <w:vAlign w:val="bottom"/>
          </w:tcPr>
          <w:p w:rsidR="00E744AC" w:rsidRDefault="00E744AC">
            <w:pPr>
              <w:jc w:val="center"/>
              <w:rPr>
                <w:rFonts w:eastAsia="Arial Unicode MS"/>
                <w:sz w:val="20"/>
                <w:szCs w:val="20"/>
              </w:rPr>
            </w:pPr>
            <w:r>
              <w:rPr>
                <w:sz w:val="20"/>
                <w:szCs w:val="20"/>
              </w:rPr>
              <w:t> </w:t>
            </w:r>
          </w:p>
        </w:tc>
      </w:tr>
      <w:tr w:rsidR="00E744AC">
        <w:trPr>
          <w:trHeight w:val="330"/>
        </w:trPr>
        <w:tc>
          <w:tcPr>
            <w:tcW w:w="0" w:type="auto"/>
            <w:tcBorders>
              <w:top w:val="single" w:sz="12" w:space="0" w:color="auto"/>
              <w:left w:val="nil"/>
              <w:bottom w:val="nil"/>
              <w:right w:val="nil"/>
            </w:tcBorders>
            <w:noWrap/>
            <w:vAlign w:val="bottom"/>
          </w:tcPr>
          <w:p w:rsidR="00E744AC" w:rsidRDefault="00E744AC">
            <w:pPr>
              <w:rPr>
                <w:rFonts w:eastAsia="Arial Unicode MS"/>
                <w:b/>
                <w:bCs/>
                <w:sz w:val="16"/>
                <w:szCs w:val="16"/>
              </w:rPr>
            </w:pPr>
            <w:r>
              <w:rPr>
                <w:b/>
                <w:bCs/>
                <w:sz w:val="16"/>
                <w:szCs w:val="16"/>
              </w:rPr>
              <w:t>No</w:t>
            </w:r>
            <w:r>
              <w:rPr>
                <w:sz w:val="16"/>
                <w:szCs w:val="16"/>
              </w:rPr>
              <w:t xml:space="preserve"> : CV &gt;15</w:t>
            </w:r>
          </w:p>
        </w:tc>
        <w:tc>
          <w:tcPr>
            <w:tcW w:w="0" w:type="auto"/>
            <w:tcBorders>
              <w:top w:val="single" w:sz="12" w:space="0" w:color="auto"/>
              <w:left w:val="nil"/>
              <w:bottom w:val="nil"/>
              <w:right w:val="nil"/>
            </w:tcBorders>
            <w:noWrap/>
            <w:vAlign w:val="bottom"/>
          </w:tcPr>
          <w:p w:rsidR="00E744AC" w:rsidRDefault="00E744AC">
            <w:pPr>
              <w:jc w:val="center"/>
              <w:rPr>
                <w:rFonts w:eastAsia="Arial Unicode MS"/>
                <w:sz w:val="20"/>
                <w:szCs w:val="20"/>
              </w:rPr>
            </w:pPr>
          </w:p>
        </w:tc>
        <w:tc>
          <w:tcPr>
            <w:tcW w:w="0" w:type="auto"/>
            <w:tcBorders>
              <w:top w:val="single" w:sz="12" w:space="0" w:color="auto"/>
              <w:left w:val="nil"/>
              <w:bottom w:val="nil"/>
              <w:right w:val="nil"/>
            </w:tcBorders>
            <w:noWrap/>
            <w:vAlign w:val="bottom"/>
          </w:tcPr>
          <w:p w:rsidR="00E744AC" w:rsidRDefault="00E744AC">
            <w:pPr>
              <w:jc w:val="center"/>
              <w:rPr>
                <w:rFonts w:eastAsia="Arial Unicode MS"/>
                <w:sz w:val="20"/>
                <w:szCs w:val="20"/>
              </w:rPr>
            </w:pPr>
          </w:p>
        </w:tc>
        <w:tc>
          <w:tcPr>
            <w:tcW w:w="0" w:type="auto"/>
            <w:tcBorders>
              <w:top w:val="single" w:sz="12" w:space="0" w:color="auto"/>
              <w:left w:val="nil"/>
              <w:bottom w:val="nil"/>
              <w:right w:val="nil"/>
            </w:tcBorders>
            <w:noWrap/>
            <w:vAlign w:val="bottom"/>
          </w:tcPr>
          <w:p w:rsidR="00E744AC" w:rsidRDefault="00E744AC">
            <w:pPr>
              <w:jc w:val="center"/>
              <w:rPr>
                <w:rFonts w:eastAsia="Arial Unicode MS"/>
                <w:sz w:val="20"/>
                <w:szCs w:val="20"/>
              </w:rPr>
            </w:pPr>
          </w:p>
        </w:tc>
        <w:tc>
          <w:tcPr>
            <w:tcW w:w="0" w:type="auto"/>
            <w:tcBorders>
              <w:top w:val="single" w:sz="12" w:space="0" w:color="auto"/>
              <w:left w:val="nil"/>
              <w:bottom w:val="nil"/>
              <w:right w:val="nil"/>
            </w:tcBorders>
            <w:noWrap/>
            <w:vAlign w:val="bottom"/>
          </w:tcPr>
          <w:p w:rsidR="00E744AC" w:rsidRDefault="00E744AC">
            <w:pPr>
              <w:jc w:val="center"/>
              <w:rPr>
                <w:rFonts w:eastAsia="Arial Unicode MS"/>
                <w:sz w:val="20"/>
                <w:szCs w:val="20"/>
              </w:rPr>
            </w:pPr>
          </w:p>
        </w:tc>
      </w:tr>
      <w:tr w:rsidR="00E744AC">
        <w:trPr>
          <w:trHeight w:val="330"/>
        </w:trPr>
        <w:tc>
          <w:tcPr>
            <w:tcW w:w="0" w:type="auto"/>
            <w:tcBorders>
              <w:top w:val="nil"/>
              <w:left w:val="nil"/>
              <w:bottom w:val="nil"/>
              <w:right w:val="nil"/>
            </w:tcBorders>
            <w:noWrap/>
            <w:vAlign w:val="bottom"/>
          </w:tcPr>
          <w:p w:rsidR="00E744AC" w:rsidRDefault="00E744AC">
            <w:pPr>
              <w:rPr>
                <w:rFonts w:eastAsia="Arial Unicode MS"/>
                <w:b/>
                <w:bCs/>
                <w:sz w:val="16"/>
                <w:szCs w:val="16"/>
              </w:rPr>
            </w:pPr>
            <w:r>
              <w:rPr>
                <w:b/>
                <w:bCs/>
                <w:sz w:val="16"/>
                <w:szCs w:val="16"/>
              </w:rPr>
              <w:t>R</w:t>
            </w:r>
            <w:r>
              <w:rPr>
                <w:sz w:val="16"/>
                <w:szCs w:val="16"/>
              </w:rPr>
              <w:t xml:space="preserve"> :  10 &lt; CV &lt;= 15 </w:t>
            </w: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c>
          <w:tcPr>
            <w:tcW w:w="0" w:type="auto"/>
            <w:tcBorders>
              <w:top w:val="nil"/>
              <w:left w:val="nil"/>
              <w:bottom w:val="nil"/>
              <w:right w:val="nil"/>
            </w:tcBorders>
            <w:noWrap/>
            <w:vAlign w:val="bottom"/>
          </w:tcPr>
          <w:p w:rsidR="00E744AC" w:rsidRDefault="00E744AC">
            <w:pPr>
              <w:rPr>
                <w:rFonts w:eastAsia="Arial Unicode MS"/>
                <w:sz w:val="20"/>
                <w:szCs w:val="20"/>
              </w:rPr>
            </w:pPr>
          </w:p>
        </w:tc>
      </w:tr>
      <w:tr w:rsidR="00E744AC">
        <w:trPr>
          <w:trHeight w:val="330"/>
        </w:trPr>
        <w:tc>
          <w:tcPr>
            <w:tcW w:w="0" w:type="auto"/>
            <w:tcBorders>
              <w:top w:val="nil"/>
              <w:left w:val="nil"/>
              <w:bottom w:val="nil"/>
              <w:right w:val="nil"/>
            </w:tcBorders>
            <w:noWrap/>
            <w:vAlign w:val="bottom"/>
          </w:tcPr>
          <w:p w:rsidR="00E744AC" w:rsidRDefault="00E744AC">
            <w:pPr>
              <w:rPr>
                <w:rFonts w:eastAsia="Arial Unicode MS"/>
                <w:b/>
                <w:bCs/>
                <w:sz w:val="16"/>
                <w:szCs w:val="16"/>
              </w:rPr>
            </w:pPr>
            <w:r>
              <w:rPr>
                <w:b/>
                <w:bCs/>
                <w:sz w:val="16"/>
                <w:szCs w:val="16"/>
              </w:rPr>
              <w:t>Si</w:t>
            </w:r>
            <w:r>
              <w:rPr>
                <w:sz w:val="16"/>
                <w:szCs w:val="16"/>
              </w:rPr>
              <w:t xml:space="preserve"> : CV &lt; =10</w:t>
            </w: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c>
          <w:tcPr>
            <w:tcW w:w="0" w:type="auto"/>
            <w:tcBorders>
              <w:top w:val="nil"/>
              <w:left w:val="nil"/>
              <w:bottom w:val="nil"/>
              <w:right w:val="nil"/>
            </w:tcBorders>
            <w:noWrap/>
            <w:vAlign w:val="bottom"/>
          </w:tcPr>
          <w:p w:rsidR="00E744AC" w:rsidRDefault="00E744AC">
            <w:pPr>
              <w:jc w:val="center"/>
              <w:rPr>
                <w:rFonts w:eastAsia="Arial Unicode MS"/>
                <w:sz w:val="20"/>
                <w:szCs w:val="20"/>
              </w:rPr>
            </w:pPr>
          </w:p>
        </w:tc>
      </w:tr>
    </w:tbl>
    <w:p w:rsidR="00E744AC" w:rsidRDefault="00E744AC">
      <w:pPr>
        <w:pStyle w:val="Sangra2detindependiente"/>
        <w:ind w:left="530"/>
        <w:rPr>
          <w:sz w:val="24"/>
        </w:rPr>
      </w:pPr>
    </w:p>
    <w:p w:rsidR="00E744AC" w:rsidRDefault="00E744AC">
      <w:pPr>
        <w:autoSpaceDE w:val="0"/>
        <w:autoSpaceDN w:val="0"/>
        <w:adjustRightInd w:val="0"/>
        <w:jc w:val="both"/>
        <w:rPr>
          <w:szCs w:val="22"/>
        </w:rPr>
      </w:pPr>
      <w:r>
        <w:rPr>
          <w:szCs w:val="22"/>
        </w:rPr>
        <w:t xml:space="preserve"> </w:t>
      </w:r>
    </w:p>
    <w:p w:rsidR="00E744AC" w:rsidRDefault="00E744AC">
      <w:pPr>
        <w:pStyle w:val="Encabezado"/>
        <w:jc w:val="center"/>
        <w:rPr>
          <w:rStyle w:val="Hipervnculo"/>
        </w:rPr>
      </w:pPr>
      <w:r>
        <w:rPr>
          <w:b/>
          <w:bCs/>
          <w:color w:val="0000FF"/>
        </w:rPr>
        <w:br w:type="page"/>
      </w:r>
      <w:bookmarkStart w:id="25" w:name="anexo2"/>
      <w:r>
        <w:rPr>
          <w:rStyle w:val="Hipervnculo"/>
        </w:rPr>
        <w:lastRenderedPageBreak/>
        <w:t>ANEXO 2</w:t>
      </w:r>
    </w:p>
    <w:bookmarkEnd w:id="25"/>
    <w:p w:rsidR="00E744AC" w:rsidRDefault="00974B1A">
      <w:pPr>
        <w:jc w:val="both"/>
        <w:rPr>
          <w:b/>
          <w:bCs/>
          <w:color w:val="0000FF"/>
        </w:rPr>
      </w:pPr>
      <w:r>
        <w:rPr>
          <w:b/>
          <w:bCs/>
          <w:noProof/>
          <w:color w:val="0000FF"/>
          <w:lang w:val="es-CR" w:eastAsia="es-CR"/>
        </w:rPr>
        <w:lastRenderedPageBreak/>
        <w:drawing>
          <wp:anchor distT="0" distB="0" distL="114300" distR="114300" simplePos="0" relativeHeight="251657216" behindDoc="0" locked="0" layoutInCell="1" allowOverlap="1">
            <wp:simplePos x="0" y="0"/>
            <wp:positionH relativeFrom="column">
              <wp:posOffset>107315</wp:posOffset>
            </wp:positionH>
            <wp:positionV relativeFrom="paragraph">
              <wp:posOffset>203200</wp:posOffset>
            </wp:positionV>
            <wp:extent cx="5676900" cy="8401050"/>
            <wp:effectExtent l="0" t="0" r="0" b="0"/>
            <wp:wrapTopAndBottom/>
            <wp:docPr id="10"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76900" cy="8401050"/>
                    </a:xfrm>
                    <a:prstGeom prst="rect">
                      <a:avLst/>
                    </a:prstGeom>
                    <a:noFill/>
                  </pic:spPr>
                </pic:pic>
              </a:graphicData>
            </a:graphic>
            <wp14:sizeRelH relativeFrom="page">
              <wp14:pctWidth>0</wp14:pctWidth>
            </wp14:sizeRelH>
            <wp14:sizeRelV relativeFrom="page">
              <wp14:pctHeight>0</wp14:pctHeight>
            </wp14:sizeRelV>
          </wp:anchor>
        </w:drawing>
      </w:r>
    </w:p>
    <w:sectPr w:rsidR="00E744AC" w:rsidSect="00B91427">
      <w:headerReference w:type="even" r:id="rId34"/>
      <w:headerReference w:type="default" r:id="rId35"/>
      <w:pgSz w:w="12242" w:h="15842" w:code="1"/>
      <w:pgMar w:top="1474" w:right="1361" w:bottom="1361" w:left="1361" w:header="567" w:footer="56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B07" w:rsidRDefault="00BA4B07">
      <w:r>
        <w:separator/>
      </w:r>
    </w:p>
  </w:endnote>
  <w:endnote w:type="continuationSeparator" w:id="0">
    <w:p w:rsidR="00BA4B07" w:rsidRDefault="00BA4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B07" w:rsidRDefault="00BA4B07">
      <w:r>
        <w:separator/>
      </w:r>
    </w:p>
  </w:footnote>
  <w:footnote w:type="continuationSeparator" w:id="0">
    <w:p w:rsidR="00BA4B07" w:rsidRDefault="00BA4B07">
      <w:r>
        <w:continuationSeparator/>
      </w:r>
    </w:p>
  </w:footnote>
  <w:footnote w:id="1">
    <w:p w:rsidR="00313D5A" w:rsidRPr="00E2346C" w:rsidRDefault="00313D5A">
      <w:pPr>
        <w:pStyle w:val="Textonotapie"/>
      </w:pPr>
      <w:r>
        <w:rPr>
          <w:rStyle w:val="Refdenotaalpie"/>
        </w:rPr>
        <w:footnoteRef/>
      </w:r>
      <w:r>
        <w:t xml:space="preserve"> /El REV </w:t>
      </w:r>
      <w:r>
        <w:rPr>
          <w:color w:val="000000"/>
        </w:rPr>
        <w:t xml:space="preserve">es el listado de estructura dentro de un segmento con su respectivo </w:t>
      </w:r>
      <w:r w:rsidR="00D829FC">
        <w:rPr>
          <w:color w:val="000000"/>
        </w:rPr>
        <w:t>mapa para</w:t>
      </w:r>
      <w:r>
        <w:rPr>
          <w:color w:val="000000"/>
        </w:rPr>
        <w:t xml:space="preserve"> su ubicación geográfica y del cual se seleccionan las viviendas de la muestra.</w:t>
      </w:r>
    </w:p>
  </w:footnote>
  <w:footnote w:id="2">
    <w:p w:rsidR="00313D5A" w:rsidRDefault="00313D5A">
      <w:pPr>
        <w:jc w:val="both"/>
        <w:rPr>
          <w:color w:val="000000"/>
          <w:sz w:val="20"/>
        </w:rPr>
      </w:pPr>
      <w:r>
        <w:rPr>
          <w:rStyle w:val="Refdenotaalpie"/>
          <w:sz w:val="20"/>
        </w:rPr>
        <w:footnoteRef/>
      </w:r>
      <w:r>
        <w:rPr>
          <w:sz w:val="20"/>
        </w:rPr>
        <w:t xml:space="preserve">/ Se haría uso de las </w:t>
      </w:r>
      <w:r>
        <w:rPr>
          <w:b/>
          <w:bCs/>
          <w:color w:val="000000"/>
          <w:sz w:val="20"/>
        </w:rPr>
        <w:t>secciones</w:t>
      </w:r>
      <w:r>
        <w:rPr>
          <w:color w:val="000000"/>
          <w:sz w:val="20"/>
        </w:rPr>
        <w:t xml:space="preserve"> construidas en el Marco Muestral de Viviendas 2000 (</w:t>
      </w:r>
      <w:r>
        <w:rPr>
          <w:b/>
          <w:bCs/>
          <w:color w:val="000000"/>
          <w:sz w:val="20"/>
        </w:rPr>
        <w:t>MMV-00</w:t>
      </w:r>
      <w:r>
        <w:rPr>
          <w:color w:val="000000"/>
          <w:sz w:val="20"/>
        </w:rPr>
        <w:t>) con un tamaño de cinco segmentos adyacentes por sección.</w:t>
      </w:r>
    </w:p>
    <w:p w:rsidR="00313D5A" w:rsidRDefault="00313D5A">
      <w:pPr>
        <w:pStyle w:val="Textonotapie"/>
      </w:pPr>
    </w:p>
  </w:footnote>
  <w:footnote w:id="3">
    <w:p w:rsidR="00313D5A" w:rsidRPr="002F4C90" w:rsidRDefault="00313D5A" w:rsidP="00D77BA3">
      <w:pPr>
        <w:pStyle w:val="Textonotapie"/>
        <w:rPr>
          <w:sz w:val="18"/>
          <w:szCs w:val="18"/>
        </w:rPr>
      </w:pPr>
      <w:r w:rsidRPr="002F4C90">
        <w:rPr>
          <w:rStyle w:val="Refdenotaalpie"/>
          <w:sz w:val="18"/>
          <w:szCs w:val="18"/>
        </w:rPr>
        <w:footnoteRef/>
      </w:r>
      <w:r w:rsidR="00D829FC" w:rsidRPr="002F4C90">
        <w:rPr>
          <w:sz w:val="18"/>
          <w:szCs w:val="18"/>
        </w:rPr>
        <w:t>/ El</w:t>
      </w:r>
      <w:r>
        <w:rPr>
          <w:sz w:val="18"/>
          <w:szCs w:val="18"/>
        </w:rPr>
        <w:t xml:space="preserve"> </w:t>
      </w:r>
      <w:r w:rsidRPr="002F4C90">
        <w:rPr>
          <w:sz w:val="18"/>
          <w:szCs w:val="18"/>
        </w:rPr>
        <w:t>coeficiente de variación (CV)</w:t>
      </w:r>
      <w:r>
        <w:rPr>
          <w:sz w:val="18"/>
          <w:szCs w:val="18"/>
        </w:rPr>
        <w:t xml:space="preserve"> o error relativo es una medida de la precisión de una estimación. Si el CV es menor al 10% se dice que la estimación es bastante precisa, entre 10% y 15% aceptable, y mayor al 15% es no aceptable</w:t>
      </w:r>
      <w:r w:rsidRPr="002F4C90">
        <w:rPr>
          <w:sz w:val="18"/>
          <w:szCs w:val="18"/>
        </w:rPr>
        <w:t>.</w:t>
      </w:r>
    </w:p>
  </w:footnote>
  <w:footnote w:id="4">
    <w:p w:rsidR="00313D5A" w:rsidRDefault="00313D5A" w:rsidP="00821F18">
      <w:pPr>
        <w:pStyle w:val="Textonotapie"/>
        <w:jc w:val="both"/>
      </w:pPr>
      <w:r>
        <w:rPr>
          <w:rStyle w:val="Refdenotaalpie"/>
        </w:rPr>
        <w:footnoteRef/>
      </w:r>
      <w:r w:rsidR="00D829FC">
        <w:t>/ Son</w:t>
      </w:r>
      <w:r>
        <w:t xml:space="preserve"> las jornadas de tiempo completo (40 horas</w:t>
      </w:r>
      <w:bookmarkStart w:id="8" w:name="_GoBack"/>
      <w:bookmarkEnd w:id="8"/>
      <w:r w:rsidR="005B4231">
        <w:t>) trabajadas</w:t>
      </w:r>
      <w:r>
        <w:t xml:space="preserve"> por las personas ocupadas.</w:t>
      </w:r>
    </w:p>
  </w:footnote>
  <w:footnote w:id="5">
    <w:p w:rsidR="00313D5A" w:rsidRPr="00BC0577" w:rsidRDefault="00313D5A" w:rsidP="005E27B0">
      <w:pPr>
        <w:pStyle w:val="Textonotapie"/>
      </w:pPr>
      <w:r>
        <w:rPr>
          <w:rStyle w:val="Refdenotaalpie"/>
        </w:rPr>
        <w:footnoteRef/>
      </w:r>
      <w:r>
        <w:t xml:space="preserve"> / La EHPM investiga cada año aproximadamente 12000 viviendas y la muestra está dividida en cuatro turnos de rotación de aproximadamente 3000 viviendas cada uno que representan un 25% de la muestra total.</w:t>
      </w:r>
    </w:p>
  </w:footnote>
  <w:footnote w:id="6">
    <w:p w:rsidR="00313D5A" w:rsidRPr="003E0A97" w:rsidRDefault="00313D5A">
      <w:pPr>
        <w:pStyle w:val="Textonotapie"/>
        <w:rPr>
          <w:lang w:val="es-MX"/>
        </w:rPr>
      </w:pPr>
      <w:r>
        <w:rPr>
          <w:rStyle w:val="Refdenotaalpie"/>
        </w:rPr>
        <w:footnoteRef/>
      </w:r>
      <w:r>
        <w:t xml:space="preserve"> </w:t>
      </w:r>
      <w:r>
        <w:rPr>
          <w:lang w:val="es-MX"/>
        </w:rPr>
        <w:t>/ Una encuesta se considera compleja cuando incluye dos o más etapas de selección.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D5A" w:rsidRDefault="00313D5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13D5A" w:rsidRDefault="00313D5A">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3D5A" w:rsidRPr="00974B1A" w:rsidRDefault="00313D5A" w:rsidP="00CD4542">
    <w:pPr>
      <w:pStyle w:val="Encabezado"/>
      <w:pBdr>
        <w:top w:val="single" w:sz="4" w:space="1" w:color="A6A6A6"/>
        <w:left w:val="single" w:sz="4" w:space="4" w:color="A6A6A6"/>
        <w:bottom w:val="single" w:sz="4" w:space="1" w:color="A6A6A6"/>
        <w:right w:val="single" w:sz="4" w:space="4" w:color="A6A6A6"/>
      </w:pBdr>
      <w:shd w:val="clear" w:color="auto" w:fill="7CA1CE"/>
      <w:rPr>
        <w:rFonts w:ascii="Bell MT" w:hAnsi="Bell MT"/>
        <w:b/>
        <w:color w:val="FFFFFF" w:themeColor="background1"/>
        <w14:shadow w14:blurRad="50800" w14:dist="38100" w14:dir="2700000" w14:sx="100000" w14:sy="100000" w14:kx="0" w14:ky="0" w14:algn="tl">
          <w14:srgbClr w14:val="000000">
            <w14:alpha w14:val="60000"/>
          </w14:srgbClr>
        </w14:shadow>
      </w:rPr>
    </w:pPr>
    <w:r w:rsidRPr="00974B1A">
      <w:rPr>
        <w:rFonts w:ascii="Bell MT" w:hAnsi="Bell MT"/>
        <w:b/>
        <w:noProof/>
        <w:snapToGrid w:val="0"/>
        <w:color w:val="FFFFFF" w:themeColor="background1"/>
        <w:lang w:val="es-CR" w:eastAsia="es-CR"/>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657728" behindDoc="0" locked="0" layoutInCell="0" allowOverlap="1">
              <wp:simplePos x="0" y="0"/>
              <wp:positionH relativeFrom="page">
                <wp:posOffset>6870700</wp:posOffset>
              </wp:positionH>
              <wp:positionV relativeFrom="page">
                <wp:posOffset>546100</wp:posOffset>
              </wp:positionV>
              <wp:extent cx="861060" cy="17526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75260"/>
                      </a:xfrm>
                      <a:prstGeom prst="rect">
                        <a:avLst/>
                      </a:prstGeom>
                      <a:solidFill>
                        <a:srgbClr val="4F81BD"/>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3D5A" w:rsidRPr="00974B1A" w:rsidRDefault="00313D5A" w:rsidP="00CD4542">
                          <w:pPr>
                            <w:rPr>
                              <w14:shadow w14:blurRad="50800" w14:dist="38100" w14:dir="2700000" w14:sx="100000" w14:sy="100000" w14:kx="0" w14:ky="0" w14:algn="tl">
                                <w14:srgbClr w14:val="000000">
                                  <w14:alpha w14:val="60000"/>
                                </w14:srgbClr>
                              </w14:shadow>
                              <w14:textFill>
                                <w14:solidFill>
                                  <w14:srgbClr w14:val="FFFFFF"/>
                                </w14:solidFill>
                              </w14:textFill>
                            </w:rPr>
                          </w:pPr>
                          <w:r w:rsidRPr="00974B1A">
                            <w:rPr>
                              <w14:shadow w14:blurRad="50800" w14:dist="38100" w14:dir="2700000" w14:sx="100000" w14:sy="100000" w14:kx="0" w14:ky="0" w14:algn="tl">
                                <w14:srgbClr w14:val="000000">
                                  <w14:alpha w14:val="60000"/>
                                </w14:srgbClr>
                              </w14:shadow>
                            </w:rPr>
                            <w:fldChar w:fldCharType="begin"/>
                          </w:r>
                          <w:r w:rsidRPr="00974B1A">
                            <w:rPr>
                              <w14:shadow w14:blurRad="50800" w14:dist="38100" w14:dir="2700000" w14:sx="100000" w14:sy="100000" w14:kx="0" w14:ky="0" w14:algn="tl">
                                <w14:srgbClr w14:val="000000">
                                  <w14:alpha w14:val="60000"/>
                                </w14:srgbClr>
                              </w14:shadow>
                            </w:rPr>
                            <w:instrText xml:space="preserve"> PAGE   \* MERGEFORMAT </w:instrText>
                          </w:r>
                          <w:r w:rsidRPr="00974B1A">
                            <w:rPr>
                              <w14:shadow w14:blurRad="50800" w14:dist="38100" w14:dir="2700000" w14:sx="100000" w14:sy="100000" w14:kx="0" w14:ky="0" w14:algn="tl">
                                <w14:srgbClr w14:val="000000">
                                  <w14:alpha w14:val="60000"/>
                                </w14:srgbClr>
                              </w14:shadow>
                            </w:rPr>
                            <w:fldChar w:fldCharType="separate"/>
                          </w:r>
                          <w:r w:rsidR="005B4231" w:rsidRPr="005B4231">
                            <w:rPr>
                              <w:noProof/>
                              <w:lang w:val="en-US"/>
                              <w14:shadow w14:blurRad="50800" w14:dist="38100" w14:dir="2700000" w14:sx="100000" w14:sy="100000" w14:kx="0" w14:ky="0" w14:algn="tl">
                                <w14:srgbClr w14:val="000000">
                                  <w14:alpha w14:val="60000"/>
                                </w14:srgbClr>
                              </w14:shadow>
                              <w14:textFill>
                                <w14:solidFill>
                                  <w14:srgbClr w14:val="FFFFFF"/>
                                </w14:solidFill>
                              </w14:textFill>
                            </w:rPr>
                            <w:t>21</w:t>
                          </w:r>
                          <w:r w:rsidRPr="00974B1A">
                            <w:rPr>
                              <w14:shadow w14:blurRad="50800" w14:dist="38100" w14:dir="2700000" w14:sx="100000" w14:sy="100000" w14:kx="0" w14:ky="0" w14:algn="tl">
                                <w14:srgbClr w14:val="000000">
                                  <w14:alpha w14:val="60000"/>
                                </w14:srgbClr>
                              </w14:shadow>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541pt;margin-top:43pt;width:67.8pt;height:13.8pt;z-index:251657728;visibility:visible;mso-wrap-style:square;mso-width-percent:1000;mso-height-percent:0;mso-wrap-distance-left:9pt;mso-wrap-distance-top:0;mso-wrap-distance-right:9pt;mso-wrap-distance-bottom:0;mso-position-horizontal:absolute;mso-position-horizontal-relative:page;mso-position-vertical:absolute;mso-position-vertical-relative:page;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" o:allowincell="f" fillcolor="#4f81bd" stroked="f">
              <v:textbox style="mso-fit-shape-to-text:t" inset=",0,,0">
                <w:txbxContent>
                  <w:p w:rsidR="00313D5A" w:rsidRPr="00974B1A" w:rsidRDefault="00313D5A" w:rsidP="00CD4542">
                    <w:pPr>
                      <w:rPr>
                        <w14:shadow w14:blurRad="50800" w14:dist="38100" w14:dir="2700000" w14:sx="100000" w14:sy="100000" w14:kx="0" w14:ky="0" w14:algn="tl">
                          <w14:srgbClr w14:val="000000">
                            <w14:alpha w14:val="60000"/>
                          </w14:srgbClr>
                        </w14:shadow>
                        <w14:textFill>
                          <w14:solidFill>
                            <w14:srgbClr w14:val="FFFFFF"/>
                          </w14:solidFill>
                        </w14:textFill>
                      </w:rPr>
                    </w:pPr>
                    <w:r w:rsidRPr="00974B1A">
                      <w:rPr>
                        <w14:shadow w14:blurRad="50800" w14:dist="38100" w14:dir="2700000" w14:sx="100000" w14:sy="100000" w14:kx="0" w14:ky="0" w14:algn="tl">
                          <w14:srgbClr w14:val="000000">
                            <w14:alpha w14:val="60000"/>
                          </w14:srgbClr>
                        </w14:shadow>
                      </w:rPr>
                      <w:fldChar w:fldCharType="begin"/>
                    </w:r>
                    <w:r w:rsidRPr="00974B1A">
                      <w:rPr>
                        <w14:shadow w14:blurRad="50800" w14:dist="38100" w14:dir="2700000" w14:sx="100000" w14:sy="100000" w14:kx="0" w14:ky="0" w14:algn="tl">
                          <w14:srgbClr w14:val="000000">
                            <w14:alpha w14:val="60000"/>
                          </w14:srgbClr>
                        </w14:shadow>
                      </w:rPr>
                      <w:instrText xml:space="preserve"> PAGE   \* MERGEFORMAT </w:instrText>
                    </w:r>
                    <w:r w:rsidRPr="00974B1A">
                      <w:rPr>
                        <w14:shadow w14:blurRad="50800" w14:dist="38100" w14:dir="2700000" w14:sx="100000" w14:sy="100000" w14:kx="0" w14:ky="0" w14:algn="tl">
                          <w14:srgbClr w14:val="000000">
                            <w14:alpha w14:val="60000"/>
                          </w14:srgbClr>
                        </w14:shadow>
                      </w:rPr>
                      <w:fldChar w:fldCharType="separate"/>
                    </w:r>
                    <w:r w:rsidR="005B4231" w:rsidRPr="005B4231">
                      <w:rPr>
                        <w:noProof/>
                        <w:lang w:val="en-US"/>
                        <w14:shadow w14:blurRad="50800" w14:dist="38100" w14:dir="2700000" w14:sx="100000" w14:sy="100000" w14:kx="0" w14:ky="0" w14:algn="tl">
                          <w14:srgbClr w14:val="000000">
                            <w14:alpha w14:val="60000"/>
                          </w14:srgbClr>
                        </w14:shadow>
                        <w14:textFill>
                          <w14:solidFill>
                            <w14:srgbClr w14:val="FFFFFF"/>
                          </w14:solidFill>
                        </w14:textFill>
                      </w:rPr>
                      <w:t>21</w:t>
                    </w:r>
                    <w:r w:rsidRPr="00974B1A">
                      <w:rPr>
                        <w14:shadow w14:blurRad="50800" w14:dist="38100" w14:dir="2700000" w14:sx="100000" w14:sy="100000" w14:kx="0" w14:ky="0" w14:algn="tl">
                          <w14:srgbClr w14:val="000000">
                            <w14:alpha w14:val="60000"/>
                          </w14:srgbClr>
                        </w14:shadow>
                      </w:rPr>
                      <w:fldChar w:fldCharType="end"/>
                    </w:r>
                  </w:p>
                </w:txbxContent>
              </v:textbox>
              <w10:wrap anchorx="page" anchory="page"/>
            </v:shape>
          </w:pict>
        </mc:Fallback>
      </mc:AlternateContent>
    </w:r>
    <w:r w:rsidRPr="00974B1A">
      <w:rPr>
        <w:rFonts w:ascii="Bell MT" w:hAnsi="Bell MT"/>
        <w:b/>
        <w:color w:val="FFFFFF" w:themeColor="background1"/>
        <w14:shadow w14:blurRad="50800" w14:dist="38100" w14:dir="2700000" w14:sx="100000" w14:sy="100000" w14:kx="0" w14:ky="0" w14:algn="tl">
          <w14:srgbClr w14:val="000000">
            <w14:alpha w14:val="60000"/>
          </w14:srgbClr>
        </w14:shadow>
      </w:rPr>
      <w:t>Diseño de la Muestra ECE</w:t>
    </w:r>
    <w:r w:rsidRPr="00974B1A">
      <w:rPr>
        <w:rFonts w:ascii="Bell MT" w:hAnsi="Bell MT"/>
        <w:b/>
        <w:color w:val="FFFFFF" w:themeColor="background1"/>
        <w14:shadow w14:blurRad="50800" w14:dist="38100" w14:dir="2700000" w14:sx="100000" w14:sy="100000" w14:kx="0" w14:ky="0" w14:algn="tl">
          <w14:srgbClr w14:val="000000">
            <w14:alpha w14:val="60000"/>
          </w14:srgbClr>
        </w14:shadow>
      </w:rPr>
      <w:tab/>
    </w:r>
    <w:r w:rsidRPr="00974B1A">
      <w:rPr>
        <w:rFonts w:ascii="Bell MT" w:hAnsi="Bell MT"/>
        <w:b/>
        <w:color w:val="FFFFFF" w:themeColor="background1"/>
        <w14:shadow w14:blurRad="50800" w14:dist="38100" w14:dir="2700000" w14:sx="100000" w14:sy="100000" w14:kx="0" w14:ky="0" w14:algn="tl">
          <w14:srgbClr w14:val="000000">
            <w14:alpha w14:val="60000"/>
          </w14:srgbClr>
        </w14:shadow>
      </w:rPr>
      <w:tab/>
      <w:t>Proceso de Muestreo</w:t>
    </w:r>
  </w:p>
  <w:p w:rsidR="00313D5A" w:rsidRPr="00505BB4" w:rsidRDefault="00313D5A" w:rsidP="00CD4542">
    <w:pPr>
      <w:spacing w:line="240" w:lineRule="exact"/>
    </w:pPr>
  </w:p>
  <w:p w:rsidR="00313D5A" w:rsidRDefault="00313D5A" w:rsidP="00CD4542">
    <w:pPr>
      <w:pStyle w:val="Encabezado"/>
      <w:tabs>
        <w:tab w:val="clear" w:pos="4252"/>
        <w:tab w:val="clear" w:pos="8504"/>
      </w:tabs>
      <w:ind w:left="180" w:right="360"/>
      <w:rPr>
        <w:rFonts w:ascii="Arial" w:hAnsi="Arial" w:cs="Arial"/>
        <w:i/>
        <w:iCs/>
        <w:color w:val="000080"/>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856349"/>
    <w:multiLevelType w:val="hybridMultilevel"/>
    <w:tmpl w:val="69E62BC2"/>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81B0A1A"/>
    <w:multiLevelType w:val="hybridMultilevel"/>
    <w:tmpl w:val="5EFC76B6"/>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85B0409"/>
    <w:multiLevelType w:val="hybridMultilevel"/>
    <w:tmpl w:val="1FA0AF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73D0A93"/>
    <w:multiLevelType w:val="hybridMultilevel"/>
    <w:tmpl w:val="63B0E150"/>
    <w:lvl w:ilvl="0" w:tplc="75AE111C">
      <w:start w:val="1"/>
      <w:numFmt w:val="decimal"/>
      <w:lvlText w:val="%1."/>
      <w:lvlJc w:val="left"/>
      <w:pPr>
        <w:tabs>
          <w:tab w:val="num" w:pos="720"/>
        </w:tabs>
        <w:ind w:left="720" w:hanging="360"/>
      </w:pPr>
    </w:lvl>
    <w:lvl w:ilvl="1" w:tplc="BC709870">
      <w:numFmt w:val="none"/>
      <w:lvlText w:val=""/>
      <w:lvlJc w:val="left"/>
      <w:pPr>
        <w:tabs>
          <w:tab w:val="num" w:pos="360"/>
        </w:tabs>
      </w:pPr>
    </w:lvl>
    <w:lvl w:ilvl="2" w:tplc="9C8E5C04">
      <w:numFmt w:val="none"/>
      <w:lvlText w:val=""/>
      <w:lvlJc w:val="left"/>
      <w:pPr>
        <w:tabs>
          <w:tab w:val="num" w:pos="360"/>
        </w:tabs>
      </w:pPr>
    </w:lvl>
    <w:lvl w:ilvl="3" w:tplc="9E909220">
      <w:numFmt w:val="none"/>
      <w:lvlText w:val=""/>
      <w:lvlJc w:val="left"/>
      <w:pPr>
        <w:tabs>
          <w:tab w:val="num" w:pos="360"/>
        </w:tabs>
      </w:pPr>
    </w:lvl>
    <w:lvl w:ilvl="4" w:tplc="6BB455DC">
      <w:numFmt w:val="none"/>
      <w:lvlText w:val=""/>
      <w:lvlJc w:val="left"/>
      <w:pPr>
        <w:tabs>
          <w:tab w:val="num" w:pos="360"/>
        </w:tabs>
      </w:pPr>
    </w:lvl>
    <w:lvl w:ilvl="5" w:tplc="71368F68">
      <w:numFmt w:val="none"/>
      <w:lvlText w:val=""/>
      <w:lvlJc w:val="left"/>
      <w:pPr>
        <w:tabs>
          <w:tab w:val="num" w:pos="360"/>
        </w:tabs>
      </w:pPr>
    </w:lvl>
    <w:lvl w:ilvl="6" w:tplc="0B180A1E">
      <w:numFmt w:val="none"/>
      <w:lvlText w:val=""/>
      <w:lvlJc w:val="left"/>
      <w:pPr>
        <w:tabs>
          <w:tab w:val="num" w:pos="360"/>
        </w:tabs>
      </w:pPr>
    </w:lvl>
    <w:lvl w:ilvl="7" w:tplc="9426E5DA">
      <w:numFmt w:val="none"/>
      <w:lvlText w:val=""/>
      <w:lvlJc w:val="left"/>
      <w:pPr>
        <w:tabs>
          <w:tab w:val="num" w:pos="360"/>
        </w:tabs>
      </w:pPr>
    </w:lvl>
    <w:lvl w:ilvl="8" w:tplc="777A1012">
      <w:numFmt w:val="none"/>
      <w:lvlText w:val=""/>
      <w:lvlJc w:val="left"/>
      <w:pPr>
        <w:tabs>
          <w:tab w:val="num" w:pos="360"/>
        </w:tabs>
      </w:pPr>
    </w:lvl>
  </w:abstractNum>
  <w:abstractNum w:abstractNumId="4">
    <w:nsid w:val="28061AB1"/>
    <w:multiLevelType w:val="hybridMultilevel"/>
    <w:tmpl w:val="4F9EC5E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9490ED5"/>
    <w:multiLevelType w:val="hybridMultilevel"/>
    <w:tmpl w:val="76E0D9CC"/>
    <w:lvl w:ilvl="0" w:tplc="B0566BDA">
      <w:start w:val="1"/>
      <w:numFmt w:val="bullet"/>
      <w:lvlText w:val=""/>
      <w:lvlJc w:val="left"/>
      <w:pPr>
        <w:tabs>
          <w:tab w:val="num" w:pos="890"/>
        </w:tabs>
        <w:ind w:left="870" w:hanging="340"/>
      </w:pPr>
      <w:rPr>
        <w:rFonts w:ascii="Symbol" w:hAnsi="Symbol" w:hint="default"/>
        <w:sz w:val="22"/>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nsid w:val="2A9A209B"/>
    <w:multiLevelType w:val="hybridMultilevel"/>
    <w:tmpl w:val="32D6AFF2"/>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D875174"/>
    <w:multiLevelType w:val="hybridMultilevel"/>
    <w:tmpl w:val="0E8089FE"/>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2DDB781B"/>
    <w:multiLevelType w:val="hybridMultilevel"/>
    <w:tmpl w:val="B2C25D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7341304"/>
    <w:multiLevelType w:val="hybridMultilevel"/>
    <w:tmpl w:val="7AD02142"/>
    <w:lvl w:ilvl="0" w:tplc="0C0A000F">
      <w:start w:val="1"/>
      <w:numFmt w:val="decimal"/>
      <w:lvlText w:val="%1."/>
      <w:lvlJc w:val="left"/>
      <w:pPr>
        <w:tabs>
          <w:tab w:val="num" w:pos="720"/>
        </w:tabs>
        <w:ind w:left="720" w:hanging="360"/>
      </w:pPr>
    </w:lvl>
    <w:lvl w:ilvl="1" w:tplc="B0566BDA">
      <w:start w:val="1"/>
      <w:numFmt w:val="bullet"/>
      <w:lvlText w:val=""/>
      <w:lvlJc w:val="left"/>
      <w:pPr>
        <w:tabs>
          <w:tab w:val="num" w:pos="1440"/>
        </w:tabs>
        <w:ind w:left="1420" w:hanging="340"/>
      </w:pPr>
      <w:rPr>
        <w:rFonts w:ascii="Symbol" w:hAnsi="Symbol" w:hint="default"/>
        <w:sz w:val="22"/>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39B358E5"/>
    <w:multiLevelType w:val="hybridMultilevel"/>
    <w:tmpl w:val="B686B824"/>
    <w:lvl w:ilvl="0" w:tplc="CDCEDF3C">
      <w:start w:val="1"/>
      <w:numFmt w:val="decimal"/>
      <w:lvlText w:val="%1."/>
      <w:lvlJc w:val="left"/>
      <w:pPr>
        <w:ind w:left="720" w:hanging="360"/>
      </w:pPr>
      <w:rPr>
        <w:rFonts w:hint="default"/>
        <w:sz w:val="3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D2E4C1E"/>
    <w:multiLevelType w:val="hybridMultilevel"/>
    <w:tmpl w:val="650C1BA6"/>
    <w:lvl w:ilvl="0" w:tplc="8BB07650">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3D483CAF"/>
    <w:multiLevelType w:val="hybridMultilevel"/>
    <w:tmpl w:val="A06851E8"/>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66264D2"/>
    <w:multiLevelType w:val="hybridMultilevel"/>
    <w:tmpl w:val="3B78CDB0"/>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57FB6E0E"/>
    <w:multiLevelType w:val="hybridMultilevel"/>
    <w:tmpl w:val="CAFCCF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C3221F3"/>
    <w:multiLevelType w:val="hybridMultilevel"/>
    <w:tmpl w:val="58620880"/>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DBD7279"/>
    <w:multiLevelType w:val="hybridMultilevel"/>
    <w:tmpl w:val="D4E8475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624836D6"/>
    <w:multiLevelType w:val="hybridMultilevel"/>
    <w:tmpl w:val="C80AC3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6AF21D0"/>
    <w:multiLevelType w:val="hybridMultilevel"/>
    <w:tmpl w:val="69DC88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C3630FB"/>
    <w:multiLevelType w:val="hybridMultilevel"/>
    <w:tmpl w:val="A8624514"/>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7745FBE"/>
    <w:multiLevelType w:val="hybridMultilevel"/>
    <w:tmpl w:val="69DC8828"/>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7FA73C7"/>
    <w:multiLevelType w:val="hybridMultilevel"/>
    <w:tmpl w:val="BAC845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788A1D50"/>
    <w:multiLevelType w:val="hybridMultilevel"/>
    <w:tmpl w:val="8CA28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D1F6200"/>
    <w:multiLevelType w:val="hybridMultilevel"/>
    <w:tmpl w:val="E99CB692"/>
    <w:lvl w:ilvl="0" w:tplc="B0566BDA">
      <w:start w:val="1"/>
      <w:numFmt w:val="bullet"/>
      <w:lvlText w:val=""/>
      <w:lvlJc w:val="left"/>
      <w:pPr>
        <w:tabs>
          <w:tab w:val="num" w:pos="530"/>
        </w:tabs>
        <w:ind w:left="510" w:hanging="340"/>
      </w:pPr>
      <w:rPr>
        <w:rFonts w:ascii="Symbol" w:hAnsi="Symbol" w:hint="default"/>
        <w:sz w:val="22"/>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7E136416"/>
    <w:multiLevelType w:val="hybridMultilevel"/>
    <w:tmpl w:val="BE9E5E34"/>
    <w:lvl w:ilvl="0" w:tplc="0C0A000D">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24"/>
  </w:num>
  <w:num w:numId="3">
    <w:abstractNumId w:val="20"/>
  </w:num>
  <w:num w:numId="4">
    <w:abstractNumId w:val="18"/>
  </w:num>
  <w:num w:numId="5">
    <w:abstractNumId w:val="15"/>
  </w:num>
  <w:num w:numId="6">
    <w:abstractNumId w:val="13"/>
  </w:num>
  <w:num w:numId="7">
    <w:abstractNumId w:val="7"/>
  </w:num>
  <w:num w:numId="8">
    <w:abstractNumId w:val="6"/>
  </w:num>
  <w:num w:numId="9">
    <w:abstractNumId w:val="12"/>
  </w:num>
  <w:num w:numId="10">
    <w:abstractNumId w:val="19"/>
  </w:num>
  <w:num w:numId="11">
    <w:abstractNumId w:val="9"/>
  </w:num>
  <w:num w:numId="12">
    <w:abstractNumId w:val="0"/>
  </w:num>
  <w:num w:numId="13">
    <w:abstractNumId w:val="1"/>
  </w:num>
  <w:num w:numId="14">
    <w:abstractNumId w:val="16"/>
  </w:num>
  <w:num w:numId="15">
    <w:abstractNumId w:val="5"/>
  </w:num>
  <w:num w:numId="16">
    <w:abstractNumId w:val="23"/>
  </w:num>
  <w:num w:numId="17">
    <w:abstractNumId w:val="8"/>
  </w:num>
  <w:num w:numId="18">
    <w:abstractNumId w:val="10"/>
  </w:num>
  <w:num w:numId="19">
    <w:abstractNumId w:val="11"/>
  </w:num>
  <w:num w:numId="20">
    <w:abstractNumId w:val="22"/>
  </w:num>
  <w:num w:numId="21">
    <w:abstractNumId w:val="4"/>
  </w:num>
  <w:num w:numId="22">
    <w:abstractNumId w:val="14"/>
  </w:num>
  <w:num w:numId="23">
    <w:abstractNumId w:val="21"/>
  </w:num>
  <w:num w:numId="24">
    <w:abstractNumId w:val="17"/>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615"/>
    <w:rsid w:val="00012F5A"/>
    <w:rsid w:val="0002133A"/>
    <w:rsid w:val="00030FB8"/>
    <w:rsid w:val="00044C3E"/>
    <w:rsid w:val="000467B1"/>
    <w:rsid w:val="00075FBB"/>
    <w:rsid w:val="000964B8"/>
    <w:rsid w:val="000A0387"/>
    <w:rsid w:val="000B1081"/>
    <w:rsid w:val="000C418C"/>
    <w:rsid w:val="000D2DA4"/>
    <w:rsid w:val="000E2B61"/>
    <w:rsid w:val="000F33A5"/>
    <w:rsid w:val="00133700"/>
    <w:rsid w:val="00145C7C"/>
    <w:rsid w:val="00175F28"/>
    <w:rsid w:val="001828A6"/>
    <w:rsid w:val="00195AC9"/>
    <w:rsid w:val="001A3846"/>
    <w:rsid w:val="001A3E0A"/>
    <w:rsid w:val="001C6B7A"/>
    <w:rsid w:val="00222DBF"/>
    <w:rsid w:val="002402C7"/>
    <w:rsid w:val="0025194D"/>
    <w:rsid w:val="00252377"/>
    <w:rsid w:val="00272A3C"/>
    <w:rsid w:val="002746EF"/>
    <w:rsid w:val="002765AF"/>
    <w:rsid w:val="00297ECD"/>
    <w:rsid w:val="002A2865"/>
    <w:rsid w:val="002B2C3B"/>
    <w:rsid w:val="002C519B"/>
    <w:rsid w:val="002C788B"/>
    <w:rsid w:val="002D1379"/>
    <w:rsid w:val="002D2A3F"/>
    <w:rsid w:val="002F2B2B"/>
    <w:rsid w:val="002F5D95"/>
    <w:rsid w:val="00313D5A"/>
    <w:rsid w:val="003415DC"/>
    <w:rsid w:val="00357485"/>
    <w:rsid w:val="003679EA"/>
    <w:rsid w:val="00387D79"/>
    <w:rsid w:val="00397298"/>
    <w:rsid w:val="003C0EB8"/>
    <w:rsid w:val="003C2613"/>
    <w:rsid w:val="003C5797"/>
    <w:rsid w:val="003D3B00"/>
    <w:rsid w:val="003E0A97"/>
    <w:rsid w:val="003F282B"/>
    <w:rsid w:val="00405A5F"/>
    <w:rsid w:val="0041000A"/>
    <w:rsid w:val="00425D9F"/>
    <w:rsid w:val="00430295"/>
    <w:rsid w:val="004319C1"/>
    <w:rsid w:val="0043690D"/>
    <w:rsid w:val="00453FDB"/>
    <w:rsid w:val="00460765"/>
    <w:rsid w:val="004612D9"/>
    <w:rsid w:val="00465374"/>
    <w:rsid w:val="00473251"/>
    <w:rsid w:val="0049519C"/>
    <w:rsid w:val="00497087"/>
    <w:rsid w:val="00497E0F"/>
    <w:rsid w:val="004A1B9C"/>
    <w:rsid w:val="004A2F14"/>
    <w:rsid w:val="004C20A8"/>
    <w:rsid w:val="004C2BFA"/>
    <w:rsid w:val="004E2CB3"/>
    <w:rsid w:val="004E493A"/>
    <w:rsid w:val="004E6F0E"/>
    <w:rsid w:val="004F47DE"/>
    <w:rsid w:val="004F670E"/>
    <w:rsid w:val="00503521"/>
    <w:rsid w:val="00530C6D"/>
    <w:rsid w:val="0053612C"/>
    <w:rsid w:val="00547951"/>
    <w:rsid w:val="00551551"/>
    <w:rsid w:val="00554526"/>
    <w:rsid w:val="005603B9"/>
    <w:rsid w:val="0056172D"/>
    <w:rsid w:val="00563EB0"/>
    <w:rsid w:val="00564546"/>
    <w:rsid w:val="005708F5"/>
    <w:rsid w:val="0058095D"/>
    <w:rsid w:val="005B0DFA"/>
    <w:rsid w:val="005B3106"/>
    <w:rsid w:val="005B4231"/>
    <w:rsid w:val="005B59F9"/>
    <w:rsid w:val="005C4370"/>
    <w:rsid w:val="005D7D3F"/>
    <w:rsid w:val="005E27B0"/>
    <w:rsid w:val="005F1100"/>
    <w:rsid w:val="0060154A"/>
    <w:rsid w:val="00613208"/>
    <w:rsid w:val="00637545"/>
    <w:rsid w:val="0064157D"/>
    <w:rsid w:val="00696687"/>
    <w:rsid w:val="00697147"/>
    <w:rsid w:val="006A151B"/>
    <w:rsid w:val="006B571F"/>
    <w:rsid w:val="0070134D"/>
    <w:rsid w:val="00703DCA"/>
    <w:rsid w:val="00723078"/>
    <w:rsid w:val="00743977"/>
    <w:rsid w:val="00750CEE"/>
    <w:rsid w:val="00751603"/>
    <w:rsid w:val="00755F9D"/>
    <w:rsid w:val="0076270E"/>
    <w:rsid w:val="00770D13"/>
    <w:rsid w:val="00772F2C"/>
    <w:rsid w:val="00784F01"/>
    <w:rsid w:val="00796B64"/>
    <w:rsid w:val="007C7965"/>
    <w:rsid w:val="007D0EC7"/>
    <w:rsid w:val="007E2545"/>
    <w:rsid w:val="007E42F4"/>
    <w:rsid w:val="007F0E03"/>
    <w:rsid w:val="007F6B3F"/>
    <w:rsid w:val="008006DB"/>
    <w:rsid w:val="00814375"/>
    <w:rsid w:val="00821F18"/>
    <w:rsid w:val="008235F4"/>
    <w:rsid w:val="008245C7"/>
    <w:rsid w:val="00842EDD"/>
    <w:rsid w:val="00843606"/>
    <w:rsid w:val="008518B3"/>
    <w:rsid w:val="00862756"/>
    <w:rsid w:val="00862949"/>
    <w:rsid w:val="008665FC"/>
    <w:rsid w:val="00870E42"/>
    <w:rsid w:val="00895DDF"/>
    <w:rsid w:val="008B4A61"/>
    <w:rsid w:val="008D4D90"/>
    <w:rsid w:val="008D56B4"/>
    <w:rsid w:val="008D648A"/>
    <w:rsid w:val="008D7CCF"/>
    <w:rsid w:val="008E112F"/>
    <w:rsid w:val="008E355A"/>
    <w:rsid w:val="008E4196"/>
    <w:rsid w:val="00900F6E"/>
    <w:rsid w:val="00905575"/>
    <w:rsid w:val="0091005A"/>
    <w:rsid w:val="009142A1"/>
    <w:rsid w:val="00925E05"/>
    <w:rsid w:val="00942615"/>
    <w:rsid w:val="00947071"/>
    <w:rsid w:val="009507A4"/>
    <w:rsid w:val="00956FA9"/>
    <w:rsid w:val="0096522D"/>
    <w:rsid w:val="009679FC"/>
    <w:rsid w:val="00974B1A"/>
    <w:rsid w:val="00994FBA"/>
    <w:rsid w:val="00995B78"/>
    <w:rsid w:val="009A224E"/>
    <w:rsid w:val="009A653B"/>
    <w:rsid w:val="009B406C"/>
    <w:rsid w:val="009C062B"/>
    <w:rsid w:val="009C3531"/>
    <w:rsid w:val="009D01C9"/>
    <w:rsid w:val="00A03E8E"/>
    <w:rsid w:val="00A06173"/>
    <w:rsid w:val="00A2567A"/>
    <w:rsid w:val="00A26091"/>
    <w:rsid w:val="00A40EAB"/>
    <w:rsid w:val="00A53CAA"/>
    <w:rsid w:val="00A719B1"/>
    <w:rsid w:val="00A7543F"/>
    <w:rsid w:val="00AD4951"/>
    <w:rsid w:val="00AD648D"/>
    <w:rsid w:val="00AE521E"/>
    <w:rsid w:val="00B01869"/>
    <w:rsid w:val="00B036FA"/>
    <w:rsid w:val="00B238D8"/>
    <w:rsid w:val="00B33CA9"/>
    <w:rsid w:val="00B542FD"/>
    <w:rsid w:val="00B54BA5"/>
    <w:rsid w:val="00B834C0"/>
    <w:rsid w:val="00B91427"/>
    <w:rsid w:val="00BA18DB"/>
    <w:rsid w:val="00BA24A8"/>
    <w:rsid w:val="00BA3D5C"/>
    <w:rsid w:val="00BA4B07"/>
    <w:rsid w:val="00BA719B"/>
    <w:rsid w:val="00BC0577"/>
    <w:rsid w:val="00BD7BDD"/>
    <w:rsid w:val="00BF3B7A"/>
    <w:rsid w:val="00C00412"/>
    <w:rsid w:val="00C03E9C"/>
    <w:rsid w:val="00C17191"/>
    <w:rsid w:val="00C45518"/>
    <w:rsid w:val="00C4614B"/>
    <w:rsid w:val="00C5342C"/>
    <w:rsid w:val="00C8030B"/>
    <w:rsid w:val="00C87430"/>
    <w:rsid w:val="00C96257"/>
    <w:rsid w:val="00CA2712"/>
    <w:rsid w:val="00CA3660"/>
    <w:rsid w:val="00CB1C27"/>
    <w:rsid w:val="00CB7F86"/>
    <w:rsid w:val="00CC028B"/>
    <w:rsid w:val="00CD4542"/>
    <w:rsid w:val="00CE0381"/>
    <w:rsid w:val="00D143D7"/>
    <w:rsid w:val="00D14581"/>
    <w:rsid w:val="00D16DF0"/>
    <w:rsid w:val="00D20556"/>
    <w:rsid w:val="00D23CC4"/>
    <w:rsid w:val="00D333C0"/>
    <w:rsid w:val="00D35DB6"/>
    <w:rsid w:val="00D573C0"/>
    <w:rsid w:val="00D77BA3"/>
    <w:rsid w:val="00D81135"/>
    <w:rsid w:val="00D829FC"/>
    <w:rsid w:val="00D8442F"/>
    <w:rsid w:val="00D863FF"/>
    <w:rsid w:val="00D90C20"/>
    <w:rsid w:val="00D93A0E"/>
    <w:rsid w:val="00DA4757"/>
    <w:rsid w:val="00DC0D2B"/>
    <w:rsid w:val="00DD242D"/>
    <w:rsid w:val="00E0592F"/>
    <w:rsid w:val="00E077D5"/>
    <w:rsid w:val="00E232D4"/>
    <w:rsid w:val="00E2346C"/>
    <w:rsid w:val="00E63068"/>
    <w:rsid w:val="00E744AC"/>
    <w:rsid w:val="00E85B49"/>
    <w:rsid w:val="00E8713A"/>
    <w:rsid w:val="00E877F7"/>
    <w:rsid w:val="00EB27C6"/>
    <w:rsid w:val="00EB367B"/>
    <w:rsid w:val="00ED4176"/>
    <w:rsid w:val="00ED5BFF"/>
    <w:rsid w:val="00ED62C9"/>
    <w:rsid w:val="00ED7148"/>
    <w:rsid w:val="00EE1CE8"/>
    <w:rsid w:val="00EE5353"/>
    <w:rsid w:val="00EE6613"/>
    <w:rsid w:val="00F17076"/>
    <w:rsid w:val="00F17E7B"/>
    <w:rsid w:val="00F22471"/>
    <w:rsid w:val="00F27804"/>
    <w:rsid w:val="00F35EAC"/>
    <w:rsid w:val="00F93461"/>
    <w:rsid w:val="00F958FF"/>
    <w:rsid w:val="00FB41EE"/>
    <w:rsid w:val="00FE0EFE"/>
    <w:rsid w:val="00FF5E0D"/>
    <w:rsid w:val="00FF67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7F4C550-83D7-47CF-9867-47496A576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295"/>
    <w:rPr>
      <w:sz w:val="24"/>
      <w:szCs w:val="24"/>
    </w:rPr>
  </w:style>
  <w:style w:type="paragraph" w:styleId="Ttulo1">
    <w:name w:val="heading 1"/>
    <w:basedOn w:val="Normal"/>
    <w:next w:val="Normal"/>
    <w:qFormat/>
    <w:rsid w:val="0064157D"/>
    <w:pPr>
      <w:keepNext/>
      <w:ind w:left="1416" w:firstLine="708"/>
      <w:outlineLvl w:val="0"/>
    </w:pPr>
    <w:rPr>
      <w:b/>
      <w:bCs/>
      <w:lang w:val="es-CR"/>
    </w:rPr>
  </w:style>
  <w:style w:type="paragraph" w:styleId="Ttulo2">
    <w:name w:val="heading 2"/>
    <w:basedOn w:val="Normal"/>
    <w:next w:val="Normal"/>
    <w:qFormat/>
    <w:rsid w:val="0064157D"/>
    <w:pPr>
      <w:keepNext/>
      <w:jc w:val="center"/>
      <w:outlineLvl w:val="1"/>
    </w:pPr>
    <w:rPr>
      <w:b/>
      <w:bCs/>
      <w:lang w:val="es-CR"/>
    </w:rPr>
  </w:style>
  <w:style w:type="paragraph" w:styleId="Ttulo3">
    <w:name w:val="heading 3"/>
    <w:basedOn w:val="Normal"/>
    <w:next w:val="Normal"/>
    <w:qFormat/>
    <w:rsid w:val="0064157D"/>
    <w:pPr>
      <w:keepNext/>
      <w:ind w:left="360"/>
      <w:jc w:val="center"/>
      <w:outlineLvl w:val="2"/>
    </w:pPr>
    <w:rPr>
      <w:b/>
      <w:bCs/>
      <w:lang w:val="es-CR"/>
    </w:rPr>
  </w:style>
  <w:style w:type="paragraph" w:styleId="Ttulo4">
    <w:name w:val="heading 4"/>
    <w:basedOn w:val="Normal"/>
    <w:next w:val="Normal"/>
    <w:qFormat/>
    <w:rsid w:val="0064157D"/>
    <w:pPr>
      <w:keepNext/>
      <w:jc w:val="both"/>
      <w:outlineLvl w:val="3"/>
    </w:pPr>
    <w:rPr>
      <w:b/>
      <w:bCs/>
      <w:lang w:val="es-CR"/>
    </w:rPr>
  </w:style>
  <w:style w:type="paragraph" w:styleId="Ttulo5">
    <w:name w:val="heading 5"/>
    <w:basedOn w:val="Normal"/>
    <w:next w:val="Normal"/>
    <w:qFormat/>
    <w:rsid w:val="0064157D"/>
    <w:pPr>
      <w:keepNext/>
      <w:jc w:val="both"/>
      <w:outlineLvl w:val="4"/>
    </w:pPr>
    <w:rPr>
      <w:b/>
      <w:bCs/>
      <w:sz w:val="20"/>
      <w:lang w:val="es-CR"/>
    </w:rPr>
  </w:style>
  <w:style w:type="paragraph" w:styleId="Ttulo6">
    <w:name w:val="heading 6"/>
    <w:basedOn w:val="Normal"/>
    <w:next w:val="Normal"/>
    <w:qFormat/>
    <w:rsid w:val="0064157D"/>
    <w:pPr>
      <w:keepNext/>
      <w:autoSpaceDE w:val="0"/>
      <w:autoSpaceDN w:val="0"/>
      <w:adjustRightInd w:val="0"/>
      <w:jc w:val="both"/>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rsid w:val="0064157D"/>
  </w:style>
  <w:style w:type="paragraph" w:styleId="Textoindependiente">
    <w:name w:val="Body Text"/>
    <w:basedOn w:val="Normal"/>
    <w:semiHidden/>
    <w:rsid w:val="0064157D"/>
    <w:pPr>
      <w:jc w:val="both"/>
    </w:pPr>
    <w:rPr>
      <w:lang w:val="es-CR"/>
    </w:rPr>
  </w:style>
  <w:style w:type="paragraph" w:styleId="Textonotapie">
    <w:name w:val="footnote text"/>
    <w:basedOn w:val="Normal"/>
    <w:link w:val="TextonotapieCar"/>
    <w:semiHidden/>
    <w:rsid w:val="0064157D"/>
    <w:rPr>
      <w:sz w:val="20"/>
      <w:szCs w:val="20"/>
    </w:rPr>
  </w:style>
  <w:style w:type="paragraph" w:styleId="Encabezado">
    <w:name w:val="header"/>
    <w:basedOn w:val="Normal"/>
    <w:semiHidden/>
    <w:rsid w:val="0064157D"/>
    <w:pPr>
      <w:tabs>
        <w:tab w:val="center" w:pos="4252"/>
        <w:tab w:val="right" w:pos="8504"/>
      </w:tabs>
    </w:pPr>
  </w:style>
  <w:style w:type="paragraph" w:styleId="Piedepgina">
    <w:name w:val="footer"/>
    <w:basedOn w:val="Normal"/>
    <w:semiHidden/>
    <w:rsid w:val="0064157D"/>
    <w:pPr>
      <w:tabs>
        <w:tab w:val="center" w:pos="4252"/>
        <w:tab w:val="right" w:pos="8504"/>
      </w:tabs>
    </w:pPr>
  </w:style>
  <w:style w:type="paragraph" w:styleId="Sangradetextonormal">
    <w:name w:val="Body Text Indent"/>
    <w:basedOn w:val="Normal"/>
    <w:semiHidden/>
    <w:rsid w:val="0064157D"/>
    <w:pPr>
      <w:ind w:left="-60"/>
      <w:jc w:val="both"/>
    </w:pPr>
    <w:rPr>
      <w:lang w:val="es-CR"/>
    </w:rPr>
  </w:style>
  <w:style w:type="character" w:styleId="Nmerodepgina">
    <w:name w:val="page number"/>
    <w:basedOn w:val="Fuentedeprrafopredeter"/>
    <w:semiHidden/>
    <w:rsid w:val="0064157D"/>
  </w:style>
  <w:style w:type="paragraph" w:customStyle="1" w:styleId="xl24">
    <w:name w:val="xl24"/>
    <w:basedOn w:val="Normal"/>
    <w:rsid w:val="0064157D"/>
    <w:pPr>
      <w:spacing w:before="100" w:beforeAutospacing="1" w:after="100" w:afterAutospacing="1"/>
    </w:pPr>
    <w:rPr>
      <w:rFonts w:eastAsia="Arial Unicode MS"/>
      <w:b/>
      <w:bCs/>
    </w:rPr>
  </w:style>
  <w:style w:type="paragraph" w:customStyle="1" w:styleId="xl25">
    <w:name w:val="xl25"/>
    <w:basedOn w:val="Normal"/>
    <w:rsid w:val="0064157D"/>
    <w:pPr>
      <w:spacing w:before="100" w:beforeAutospacing="1" w:after="100" w:afterAutospacing="1"/>
    </w:pPr>
    <w:rPr>
      <w:rFonts w:eastAsia="Arial Unicode MS"/>
    </w:rPr>
  </w:style>
  <w:style w:type="paragraph" w:customStyle="1" w:styleId="xl26">
    <w:name w:val="xl26"/>
    <w:basedOn w:val="Normal"/>
    <w:rsid w:val="0064157D"/>
    <w:pPr>
      <w:spacing w:before="100" w:beforeAutospacing="1" w:after="100" w:afterAutospacing="1"/>
      <w:jc w:val="center"/>
    </w:pPr>
    <w:rPr>
      <w:rFonts w:eastAsia="Arial Unicode MS"/>
    </w:rPr>
  </w:style>
  <w:style w:type="paragraph" w:customStyle="1" w:styleId="xl27">
    <w:name w:val="xl27"/>
    <w:basedOn w:val="Normal"/>
    <w:rsid w:val="0064157D"/>
    <w:pPr>
      <w:pBdr>
        <w:bottom w:val="single" w:sz="4" w:space="0" w:color="auto"/>
      </w:pBdr>
      <w:spacing w:before="100" w:beforeAutospacing="1" w:after="100" w:afterAutospacing="1"/>
    </w:pPr>
    <w:rPr>
      <w:rFonts w:eastAsia="Arial Unicode MS"/>
    </w:rPr>
  </w:style>
  <w:style w:type="paragraph" w:customStyle="1" w:styleId="xl28">
    <w:name w:val="xl28"/>
    <w:basedOn w:val="Normal"/>
    <w:rsid w:val="0064157D"/>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xl29">
    <w:name w:val="xl29"/>
    <w:basedOn w:val="Normal"/>
    <w:rsid w:val="0064157D"/>
    <w:pPr>
      <w:pBdr>
        <w:left w:val="single" w:sz="4" w:space="0" w:color="auto"/>
        <w:bottom w:val="single" w:sz="4" w:space="0" w:color="auto"/>
      </w:pBdr>
      <w:spacing w:before="100" w:beforeAutospacing="1" w:after="100" w:afterAutospacing="1"/>
      <w:jc w:val="center"/>
    </w:pPr>
    <w:rPr>
      <w:rFonts w:eastAsia="Arial Unicode MS"/>
      <w:b/>
      <w:bCs/>
    </w:rPr>
  </w:style>
  <w:style w:type="paragraph" w:customStyle="1" w:styleId="xl30">
    <w:name w:val="xl30"/>
    <w:basedOn w:val="Normal"/>
    <w:rsid w:val="0064157D"/>
    <w:pPr>
      <w:pBdr>
        <w:bottom w:val="single" w:sz="4" w:space="0" w:color="auto"/>
      </w:pBdr>
      <w:spacing w:before="100" w:beforeAutospacing="1" w:after="100" w:afterAutospacing="1"/>
      <w:jc w:val="center"/>
    </w:pPr>
    <w:rPr>
      <w:rFonts w:eastAsia="Arial Unicode MS"/>
    </w:rPr>
  </w:style>
  <w:style w:type="paragraph" w:customStyle="1" w:styleId="xl31">
    <w:name w:val="xl31"/>
    <w:basedOn w:val="Normal"/>
    <w:rsid w:val="0064157D"/>
    <w:pPr>
      <w:spacing w:before="100" w:beforeAutospacing="1" w:after="100" w:afterAutospacing="1"/>
      <w:jc w:val="center"/>
    </w:pPr>
    <w:rPr>
      <w:rFonts w:eastAsia="Arial Unicode MS"/>
      <w:color w:val="FF0000"/>
    </w:rPr>
  </w:style>
  <w:style w:type="paragraph" w:customStyle="1" w:styleId="xl32">
    <w:name w:val="xl32"/>
    <w:basedOn w:val="Normal"/>
    <w:rsid w:val="0064157D"/>
    <w:pPr>
      <w:spacing w:before="100" w:beforeAutospacing="1" w:after="100" w:afterAutospacing="1"/>
      <w:jc w:val="center"/>
    </w:pPr>
    <w:rPr>
      <w:rFonts w:eastAsia="Arial Unicode MS"/>
      <w:color w:val="0000FF"/>
    </w:rPr>
  </w:style>
  <w:style w:type="paragraph" w:customStyle="1" w:styleId="xl33">
    <w:name w:val="xl33"/>
    <w:basedOn w:val="Normal"/>
    <w:rsid w:val="0064157D"/>
    <w:pPr>
      <w:pBdr>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xl34">
    <w:name w:val="xl34"/>
    <w:basedOn w:val="Normal"/>
    <w:rsid w:val="0064157D"/>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35">
    <w:name w:val="xl35"/>
    <w:basedOn w:val="Normal"/>
    <w:rsid w:val="0064157D"/>
    <w:pPr>
      <w:pBdr>
        <w:top w:val="single" w:sz="4" w:space="0" w:color="auto"/>
        <w:bottom w:val="single" w:sz="4" w:space="0" w:color="auto"/>
      </w:pBdr>
      <w:spacing w:before="100" w:beforeAutospacing="1" w:after="100" w:afterAutospacing="1"/>
      <w:jc w:val="center"/>
      <w:textAlignment w:val="center"/>
    </w:pPr>
    <w:rPr>
      <w:rFonts w:eastAsia="Arial Unicode MS"/>
      <w:b/>
      <w:bCs/>
    </w:rPr>
  </w:style>
  <w:style w:type="paragraph" w:customStyle="1" w:styleId="xl36">
    <w:name w:val="xl36"/>
    <w:basedOn w:val="Normal"/>
    <w:rsid w:val="0064157D"/>
    <w:pPr>
      <w:pBdr>
        <w:top w:val="single" w:sz="4" w:space="0" w:color="auto"/>
        <w:right w:val="single" w:sz="4" w:space="0" w:color="auto"/>
      </w:pBdr>
      <w:spacing w:before="100" w:beforeAutospacing="1" w:after="100" w:afterAutospacing="1"/>
      <w:jc w:val="center"/>
      <w:textAlignment w:val="center"/>
    </w:pPr>
    <w:rPr>
      <w:rFonts w:eastAsia="Arial Unicode MS"/>
      <w:b/>
      <w:bCs/>
    </w:rPr>
  </w:style>
  <w:style w:type="character" w:styleId="Hipervnculo">
    <w:name w:val="Hyperlink"/>
    <w:basedOn w:val="Fuentedeprrafopredeter"/>
    <w:uiPriority w:val="99"/>
    <w:rsid w:val="0064157D"/>
    <w:rPr>
      <w:color w:val="0000FF"/>
      <w:u w:val="single"/>
    </w:rPr>
  </w:style>
  <w:style w:type="character" w:styleId="Hipervnculovisitado">
    <w:name w:val="FollowedHyperlink"/>
    <w:basedOn w:val="Fuentedeprrafopredeter"/>
    <w:semiHidden/>
    <w:rsid w:val="0064157D"/>
    <w:rPr>
      <w:color w:val="800080"/>
      <w:u w:val="single"/>
    </w:rPr>
  </w:style>
  <w:style w:type="paragraph" w:styleId="Textoindependiente2">
    <w:name w:val="Body Text 2"/>
    <w:basedOn w:val="Normal"/>
    <w:semiHidden/>
    <w:rsid w:val="0064157D"/>
    <w:pPr>
      <w:autoSpaceDE w:val="0"/>
      <w:autoSpaceDN w:val="0"/>
      <w:adjustRightInd w:val="0"/>
      <w:jc w:val="both"/>
    </w:pPr>
    <w:rPr>
      <w:rFonts w:ascii="ArialMT" w:hAnsi="ArialMT"/>
      <w:sz w:val="22"/>
      <w:szCs w:val="22"/>
    </w:rPr>
  </w:style>
  <w:style w:type="paragraph" w:styleId="Sangra2detindependiente">
    <w:name w:val="Body Text Indent 2"/>
    <w:basedOn w:val="Normal"/>
    <w:semiHidden/>
    <w:rsid w:val="0064157D"/>
    <w:pPr>
      <w:autoSpaceDE w:val="0"/>
      <w:autoSpaceDN w:val="0"/>
      <w:adjustRightInd w:val="0"/>
      <w:ind w:left="360"/>
      <w:jc w:val="both"/>
    </w:pPr>
    <w:rPr>
      <w:sz w:val="22"/>
      <w:szCs w:val="22"/>
    </w:rPr>
  </w:style>
  <w:style w:type="paragraph" w:styleId="Textoindependiente3">
    <w:name w:val="Body Text 3"/>
    <w:basedOn w:val="Normal"/>
    <w:semiHidden/>
    <w:rsid w:val="0064157D"/>
    <w:pPr>
      <w:jc w:val="both"/>
    </w:pPr>
    <w:rPr>
      <w:color w:val="0000FF"/>
    </w:rPr>
  </w:style>
  <w:style w:type="paragraph" w:styleId="TDC1">
    <w:name w:val="toc 1"/>
    <w:basedOn w:val="Normal"/>
    <w:next w:val="Normal"/>
    <w:autoRedefine/>
    <w:uiPriority w:val="39"/>
    <w:rsid w:val="00CD4542"/>
    <w:pPr>
      <w:widowControl w:val="0"/>
      <w:tabs>
        <w:tab w:val="left" w:pos="567"/>
        <w:tab w:val="right" w:leader="underscore" w:pos="9394"/>
      </w:tabs>
      <w:spacing w:before="120"/>
    </w:pPr>
    <w:rPr>
      <w:b/>
      <w:bCs/>
      <w:noProof/>
      <w:snapToGrid w:val="0"/>
      <w:szCs w:val="28"/>
      <w:lang w:val="es-ES_tradnl"/>
    </w:rPr>
  </w:style>
  <w:style w:type="paragraph" w:styleId="TDC2">
    <w:name w:val="toc 2"/>
    <w:basedOn w:val="Normal"/>
    <w:next w:val="Normal"/>
    <w:autoRedefine/>
    <w:uiPriority w:val="39"/>
    <w:rsid w:val="00CD4542"/>
    <w:pPr>
      <w:widowControl w:val="0"/>
      <w:tabs>
        <w:tab w:val="left" w:pos="709"/>
        <w:tab w:val="right" w:leader="underscore" w:pos="9394"/>
      </w:tabs>
      <w:spacing w:before="120"/>
      <w:ind w:left="567" w:hanging="283"/>
    </w:pPr>
    <w:rPr>
      <w:b/>
      <w:bCs/>
      <w:noProof/>
      <w:snapToGrid w:val="0"/>
      <w:szCs w:val="26"/>
      <w:lang w:val="en-US"/>
    </w:rPr>
  </w:style>
  <w:style w:type="paragraph" w:styleId="TDC3">
    <w:name w:val="toc 3"/>
    <w:basedOn w:val="Normal"/>
    <w:next w:val="Normal"/>
    <w:autoRedefine/>
    <w:uiPriority w:val="39"/>
    <w:rsid w:val="00CD4542"/>
    <w:pPr>
      <w:widowControl w:val="0"/>
      <w:ind w:left="480"/>
    </w:pPr>
    <w:rPr>
      <w:snapToGrid w:val="0"/>
      <w:lang w:val="en-US"/>
    </w:rPr>
  </w:style>
  <w:style w:type="paragraph" w:styleId="Prrafodelista">
    <w:name w:val="List Paragraph"/>
    <w:basedOn w:val="Normal"/>
    <w:uiPriority w:val="34"/>
    <w:qFormat/>
    <w:rsid w:val="00F27804"/>
    <w:pPr>
      <w:ind w:left="720"/>
      <w:contextualSpacing/>
    </w:pPr>
  </w:style>
  <w:style w:type="paragraph" w:styleId="TDC4">
    <w:name w:val="toc 4"/>
    <w:basedOn w:val="Normal"/>
    <w:next w:val="Normal"/>
    <w:autoRedefine/>
    <w:uiPriority w:val="39"/>
    <w:unhideWhenUsed/>
    <w:rsid w:val="00A06173"/>
    <w:pPr>
      <w:spacing w:after="100"/>
      <w:ind w:left="720"/>
    </w:pPr>
  </w:style>
  <w:style w:type="paragraph" w:styleId="TDC5">
    <w:name w:val="toc 5"/>
    <w:basedOn w:val="Normal"/>
    <w:next w:val="Normal"/>
    <w:autoRedefine/>
    <w:uiPriority w:val="39"/>
    <w:unhideWhenUsed/>
    <w:rsid w:val="00A06173"/>
    <w:pPr>
      <w:spacing w:after="100"/>
      <w:ind w:left="960"/>
    </w:pPr>
  </w:style>
  <w:style w:type="paragraph" w:styleId="Textonotaalfinal">
    <w:name w:val="endnote text"/>
    <w:basedOn w:val="Normal"/>
    <w:link w:val="TextonotaalfinalCar"/>
    <w:uiPriority w:val="99"/>
    <w:semiHidden/>
    <w:unhideWhenUsed/>
    <w:rsid w:val="00BC0577"/>
    <w:rPr>
      <w:sz w:val="20"/>
      <w:szCs w:val="20"/>
    </w:rPr>
  </w:style>
  <w:style w:type="character" w:customStyle="1" w:styleId="TextonotaalfinalCar">
    <w:name w:val="Texto nota al final Car"/>
    <w:basedOn w:val="Fuentedeprrafopredeter"/>
    <w:link w:val="Textonotaalfinal"/>
    <w:uiPriority w:val="99"/>
    <w:semiHidden/>
    <w:rsid w:val="00BC0577"/>
  </w:style>
  <w:style w:type="character" w:styleId="Refdenotaalfinal">
    <w:name w:val="endnote reference"/>
    <w:basedOn w:val="Fuentedeprrafopredeter"/>
    <w:uiPriority w:val="99"/>
    <w:semiHidden/>
    <w:unhideWhenUsed/>
    <w:rsid w:val="00BC0577"/>
    <w:rPr>
      <w:vertAlign w:val="superscript"/>
    </w:rPr>
  </w:style>
  <w:style w:type="paragraph" w:styleId="Textodeglobo">
    <w:name w:val="Balloon Text"/>
    <w:basedOn w:val="Normal"/>
    <w:link w:val="TextodegloboCar"/>
    <w:uiPriority w:val="99"/>
    <w:semiHidden/>
    <w:unhideWhenUsed/>
    <w:rsid w:val="002D1379"/>
    <w:rPr>
      <w:rFonts w:ascii="Tahoma" w:hAnsi="Tahoma" w:cs="Tahoma"/>
      <w:sz w:val="16"/>
      <w:szCs w:val="16"/>
    </w:rPr>
  </w:style>
  <w:style w:type="character" w:customStyle="1" w:styleId="TextodegloboCar">
    <w:name w:val="Texto de globo Car"/>
    <w:basedOn w:val="Fuentedeprrafopredeter"/>
    <w:link w:val="Textodeglobo"/>
    <w:uiPriority w:val="99"/>
    <w:semiHidden/>
    <w:rsid w:val="002D1379"/>
    <w:rPr>
      <w:rFonts w:ascii="Tahoma" w:hAnsi="Tahoma" w:cs="Tahoma"/>
      <w:sz w:val="16"/>
      <w:szCs w:val="16"/>
    </w:rPr>
  </w:style>
  <w:style w:type="character" w:customStyle="1" w:styleId="TextonotapieCar">
    <w:name w:val="Texto nota pie Car"/>
    <w:basedOn w:val="Fuentedeprrafopredeter"/>
    <w:link w:val="Textonotapie"/>
    <w:semiHidden/>
    <w:rsid w:val="00EE1CE8"/>
  </w:style>
  <w:style w:type="paragraph" w:styleId="Mapadeldocumento">
    <w:name w:val="Document Map"/>
    <w:basedOn w:val="Normal"/>
    <w:link w:val="MapadeldocumentoCar"/>
    <w:uiPriority w:val="99"/>
    <w:semiHidden/>
    <w:unhideWhenUsed/>
    <w:rsid w:val="00E63068"/>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E63068"/>
    <w:rPr>
      <w:rFonts w:ascii="Tahoma" w:hAnsi="Tahoma" w:cs="Tahoma"/>
      <w:sz w:val="16"/>
      <w:szCs w:val="16"/>
    </w:rPr>
  </w:style>
  <w:style w:type="paragraph" w:styleId="Cita">
    <w:name w:val="Quote"/>
    <w:basedOn w:val="Normal"/>
    <w:next w:val="Normal"/>
    <w:link w:val="CitaCar"/>
    <w:uiPriority w:val="29"/>
    <w:qFormat/>
    <w:rsid w:val="00ED7148"/>
    <w:rPr>
      <w:i/>
      <w:iCs/>
      <w:color w:val="000000"/>
    </w:rPr>
  </w:style>
  <w:style w:type="character" w:customStyle="1" w:styleId="CitaCar">
    <w:name w:val="Cita Car"/>
    <w:basedOn w:val="Fuentedeprrafopredeter"/>
    <w:link w:val="Cita"/>
    <w:uiPriority w:val="29"/>
    <w:rsid w:val="00ED7148"/>
    <w:rPr>
      <w:i/>
      <w:iCs/>
      <w:color w:val="000000"/>
      <w:sz w:val="24"/>
      <w:szCs w:val="24"/>
    </w:rPr>
  </w:style>
  <w:style w:type="character" w:styleId="Referenciasutil">
    <w:name w:val="Subtle Reference"/>
    <w:basedOn w:val="Fuentedeprrafopredeter"/>
    <w:uiPriority w:val="31"/>
    <w:qFormat/>
    <w:rsid w:val="00430295"/>
    <w:rPr>
      <w:smallCaps/>
      <w:color w:val="C0504D"/>
      <w:u w:val="single"/>
    </w:rPr>
  </w:style>
  <w:style w:type="character" w:styleId="Referenciaintensa">
    <w:name w:val="Intense Reference"/>
    <w:basedOn w:val="Fuentedeprrafopredeter"/>
    <w:uiPriority w:val="32"/>
    <w:qFormat/>
    <w:rsid w:val="00430295"/>
    <w:rPr>
      <w:b/>
      <w:bCs/>
      <w:smallCaps/>
      <w:color w:val="C0504D"/>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3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8.wmf"/><Relationship Id="rId26" Type="http://schemas.openxmlformats.org/officeDocument/2006/relationships/oleObject" Target="embeddings/oleObject7.bin"/><Relationship Id="rId21" Type="http://schemas.openxmlformats.org/officeDocument/2006/relationships/image" Target="media/image10.wmf"/><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oleObject" Target="embeddings/oleObject3.bin"/><Relationship Id="rId25" Type="http://schemas.openxmlformats.org/officeDocument/2006/relationships/image" Target="media/image12.wmf"/><Relationship Id="rId33" Type="http://schemas.openxmlformats.org/officeDocument/2006/relationships/image" Target="media/image18.wmf"/><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oleObject" Target="embeddings/oleObject4.bin"/><Relationship Id="rId29" Type="http://schemas.openxmlformats.org/officeDocument/2006/relationships/image" Target="media/image14.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oleObject" Target="embeddings/oleObject6.bin"/><Relationship Id="rId32" Type="http://schemas.openxmlformats.org/officeDocument/2006/relationships/image" Target="media/image17.wmf"/><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image" Target="media/image11.wmf"/><Relationship Id="rId28" Type="http://schemas.openxmlformats.org/officeDocument/2006/relationships/oleObject" Target="embeddings/oleObject8.bin"/><Relationship Id="rId36"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image" Target="media/image9.wmf"/><Relationship Id="rId31" Type="http://schemas.openxmlformats.org/officeDocument/2006/relationships/image" Target="media/image16.w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wmf"/><Relationship Id="rId22" Type="http://schemas.openxmlformats.org/officeDocument/2006/relationships/oleObject" Target="embeddings/oleObject5.bin"/><Relationship Id="rId27" Type="http://schemas.openxmlformats.org/officeDocument/2006/relationships/image" Target="media/image13.wmf"/><Relationship Id="rId30" Type="http://schemas.openxmlformats.org/officeDocument/2006/relationships/image" Target="media/image15.wmf"/><Relationship Id="rId35" Type="http://schemas.openxmlformats.org/officeDocument/2006/relationships/header" Target="header2.xml"/><Relationship Id="rId8" Type="http://schemas.openxmlformats.org/officeDocument/2006/relationships/image" Target="media/image1.wmf"/><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12AB3333-21B7-4C81-8682-2EA18FEA5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22</Pages>
  <Words>4945</Words>
  <Characters>27199</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Encuesta Trimestral de Empleo</vt:lpstr>
    </vt:vector>
  </TitlesOfParts>
  <Company>INEC</Company>
  <LinksUpToDate>false</LinksUpToDate>
  <CharactersWithSpaces>32080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Encuesta Trimestral de Empleo</dc:title>
  <dc:subject/>
  <dc:creator>giselle.arguello</dc:creator>
  <cp:keywords/>
  <dc:description/>
  <cp:lastModifiedBy>Dianny Hernandez Ruiz</cp:lastModifiedBy>
  <cp:revision>6</cp:revision>
  <cp:lastPrinted>2011-03-21T14:51:00Z</cp:lastPrinted>
  <dcterms:created xsi:type="dcterms:W3CDTF">2014-09-11T19:13:00Z</dcterms:created>
  <dcterms:modified xsi:type="dcterms:W3CDTF">2014-11-03T20:12:00Z</dcterms:modified>
</cp:coreProperties>
</file>